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一、秦皇岛市海港区生态保护服务中心本级收支预算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一、秦皇岛市海港区生态保护服务中心本级收支预算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698.03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567.89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698.03</w:t>
            </w:r>
          </w:p>
        </w:tc>
        <w:tc>
          <w:tcPr>
            <w:tcW w:w="4535" w:type="dxa"/>
            <w:vAlign w:val="center"/>
          </w:tcPr>
          <w:p>
            <w:pPr>
              <w:pStyle w:val="14"/>
            </w:pPr>
            <w:r>
              <w:t>本年支出合计</w:t>
            </w:r>
          </w:p>
        </w:tc>
        <w:tc>
          <w:tcPr>
            <w:tcW w:w="2126" w:type="dxa"/>
            <w:vAlign w:val="center"/>
          </w:tcPr>
          <w:p>
            <w:pPr>
              <w:pStyle w:val="15"/>
            </w:pPr>
            <w:r>
              <w:t>698.03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698.03</w:t>
            </w:r>
          </w:p>
        </w:tc>
        <w:tc>
          <w:tcPr>
            <w:tcW w:w="4535" w:type="dxa"/>
            <w:vAlign w:val="center"/>
          </w:tcPr>
          <w:p>
            <w:pPr>
              <w:pStyle w:val="14"/>
            </w:pPr>
            <w:r>
              <w:t>支出总计</w:t>
            </w:r>
          </w:p>
        </w:tc>
        <w:tc>
          <w:tcPr>
            <w:tcW w:w="2126" w:type="dxa"/>
            <w:vAlign w:val="center"/>
          </w:tcPr>
          <w:p>
            <w:pPr>
              <w:pStyle w:val="15"/>
            </w:pPr>
            <w:r>
              <w:t>698.03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698.03</w:t>
            </w:r>
          </w:p>
        </w:tc>
        <w:tc>
          <w:tcPr>
            <w:tcW w:w="1134" w:type="dxa"/>
            <w:vAlign w:val="center"/>
          </w:tcPr>
          <w:p>
            <w:pPr>
              <w:pStyle w:val="15"/>
            </w:pPr>
            <w:r>
              <w:t>698.03</w:t>
            </w:r>
          </w:p>
        </w:tc>
        <w:tc>
          <w:tcPr>
            <w:tcW w:w="1134" w:type="dxa"/>
            <w:vAlign w:val="center"/>
          </w:tcPr>
          <w:p>
            <w:pPr>
              <w:pStyle w:val="15"/>
            </w:pPr>
            <w:r>
              <w:t>698.03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r>
              <w:t>14.24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r>
              <w:t>4.88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567.89</w:t>
            </w:r>
          </w:p>
        </w:tc>
        <w:tc>
          <w:tcPr>
            <w:tcW w:w="1134" w:type="dxa"/>
            <w:vAlign w:val="center"/>
          </w:tcPr>
          <w:p>
            <w:pPr>
              <w:pStyle w:val="11"/>
            </w:pPr>
            <w:r>
              <w:t>567.89</w:t>
            </w:r>
          </w:p>
        </w:tc>
        <w:tc>
          <w:tcPr>
            <w:tcW w:w="1134" w:type="dxa"/>
            <w:vAlign w:val="center"/>
          </w:tcPr>
          <w:p>
            <w:pPr>
              <w:pStyle w:val="11"/>
            </w:pPr>
            <w:r>
              <w:t>567.89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r>
              <w:t>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21111</w:t>
            </w:r>
          </w:p>
        </w:tc>
        <w:tc>
          <w:tcPr>
            <w:tcW w:w="1559" w:type="dxa"/>
            <w:vAlign w:val="center"/>
          </w:tcPr>
          <w:p>
            <w:pPr>
              <w:pStyle w:val="12"/>
            </w:pPr>
            <w:r>
              <w:t>污染减排</w:t>
            </w:r>
          </w:p>
        </w:tc>
        <w:tc>
          <w:tcPr>
            <w:tcW w:w="1134" w:type="dxa"/>
            <w:vAlign w:val="center"/>
          </w:tcPr>
          <w:p>
            <w:pPr>
              <w:pStyle w:val="11"/>
            </w:pPr>
            <w:r>
              <w:t>114.27</w:t>
            </w:r>
          </w:p>
        </w:tc>
        <w:tc>
          <w:tcPr>
            <w:tcW w:w="1134" w:type="dxa"/>
            <w:vAlign w:val="center"/>
          </w:tcPr>
          <w:p>
            <w:pPr>
              <w:pStyle w:val="11"/>
            </w:pPr>
            <w:r>
              <w:t>114.27</w:t>
            </w:r>
          </w:p>
        </w:tc>
        <w:tc>
          <w:tcPr>
            <w:tcW w:w="1134" w:type="dxa"/>
            <w:vAlign w:val="center"/>
          </w:tcPr>
          <w:p>
            <w:pPr>
              <w:pStyle w:val="11"/>
            </w:pPr>
            <w:r>
              <w:t>114.27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2111101</w:t>
            </w:r>
          </w:p>
        </w:tc>
        <w:tc>
          <w:tcPr>
            <w:tcW w:w="1559" w:type="dxa"/>
            <w:vAlign w:val="center"/>
          </w:tcPr>
          <w:p>
            <w:pPr>
              <w:pStyle w:val="12"/>
            </w:pPr>
            <w:r>
              <w:t>生态环境监测与信息</w:t>
            </w:r>
          </w:p>
        </w:tc>
        <w:tc>
          <w:tcPr>
            <w:tcW w:w="1134" w:type="dxa"/>
            <w:vAlign w:val="center"/>
          </w:tcPr>
          <w:p>
            <w:pPr>
              <w:pStyle w:val="11"/>
            </w:pPr>
            <w:r>
              <w:t>114.27</w:t>
            </w:r>
          </w:p>
        </w:tc>
        <w:tc>
          <w:tcPr>
            <w:tcW w:w="1134" w:type="dxa"/>
            <w:vAlign w:val="center"/>
          </w:tcPr>
          <w:p>
            <w:pPr>
              <w:pStyle w:val="11"/>
            </w:pPr>
            <w:r>
              <w:t>114.27</w:t>
            </w:r>
          </w:p>
        </w:tc>
        <w:tc>
          <w:tcPr>
            <w:tcW w:w="1134" w:type="dxa"/>
            <w:vAlign w:val="center"/>
          </w:tcPr>
          <w:p>
            <w:pPr>
              <w:pStyle w:val="11"/>
            </w:pPr>
            <w:r>
              <w:t>114.27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21199</w:t>
            </w:r>
          </w:p>
        </w:tc>
        <w:tc>
          <w:tcPr>
            <w:tcW w:w="1559" w:type="dxa"/>
            <w:vAlign w:val="center"/>
          </w:tcPr>
          <w:p>
            <w:pPr>
              <w:pStyle w:val="12"/>
            </w:pPr>
            <w:r>
              <w:t>其他节能环保支出</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2119999</w:t>
            </w:r>
          </w:p>
        </w:tc>
        <w:tc>
          <w:tcPr>
            <w:tcW w:w="1559" w:type="dxa"/>
            <w:vAlign w:val="center"/>
          </w:tcPr>
          <w:p>
            <w:pPr>
              <w:pStyle w:val="12"/>
            </w:pPr>
            <w:r>
              <w:t>其他节能环保支出</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r>
              <w:t>3.62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r>
              <w:t>11.02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698.03</w:t>
            </w:r>
          </w:p>
        </w:tc>
        <w:tc>
          <w:tcPr>
            <w:tcW w:w="1361" w:type="dxa"/>
            <w:vAlign w:val="center"/>
          </w:tcPr>
          <w:p>
            <w:pPr>
              <w:pStyle w:val="15"/>
            </w:pPr>
            <w:r>
              <w:t>148.03</w:t>
            </w:r>
          </w:p>
        </w:tc>
        <w:tc>
          <w:tcPr>
            <w:tcW w:w="1361" w:type="dxa"/>
            <w:vAlign w:val="center"/>
          </w:tcPr>
          <w:p>
            <w:pPr>
              <w:pStyle w:val="15"/>
            </w:pPr>
            <w:r>
              <w:t>550.00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14.24</w:t>
            </w: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14.24</w:t>
            </w: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14.24</w:t>
            </w:r>
          </w:p>
        </w:tc>
        <w:tc>
          <w:tcPr>
            <w:tcW w:w="1361" w:type="dxa"/>
            <w:vAlign w:val="center"/>
          </w:tcPr>
          <w:p>
            <w:pPr>
              <w:pStyle w:val="11"/>
            </w:pPr>
            <w:r>
              <w:t>14.24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4.88</w:t>
            </w:r>
          </w:p>
        </w:tc>
        <w:tc>
          <w:tcPr>
            <w:tcW w:w="1361" w:type="dxa"/>
            <w:vAlign w:val="center"/>
          </w:tcPr>
          <w:p>
            <w:pPr>
              <w:pStyle w:val="11"/>
            </w:pPr>
            <w:r>
              <w:t>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567.89</w:t>
            </w:r>
          </w:p>
        </w:tc>
        <w:tc>
          <w:tcPr>
            <w:tcW w:w="1361" w:type="dxa"/>
            <w:vAlign w:val="center"/>
          </w:tcPr>
          <w:p>
            <w:pPr>
              <w:pStyle w:val="11"/>
            </w:pPr>
            <w:r>
              <w:t>117.89</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r>
              <w:t>450.00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21111</w:t>
            </w:r>
          </w:p>
        </w:tc>
        <w:tc>
          <w:tcPr>
            <w:tcW w:w="4535" w:type="dxa"/>
            <w:vAlign w:val="center"/>
          </w:tcPr>
          <w:p>
            <w:pPr>
              <w:pStyle w:val="12"/>
            </w:pPr>
            <w:r>
              <w:t>污染减排</w:t>
            </w:r>
          </w:p>
        </w:tc>
        <w:tc>
          <w:tcPr>
            <w:tcW w:w="1361" w:type="dxa"/>
            <w:vAlign w:val="center"/>
          </w:tcPr>
          <w:p>
            <w:pPr>
              <w:pStyle w:val="11"/>
            </w:pPr>
            <w:r>
              <w:t>114.27</w:t>
            </w:r>
          </w:p>
        </w:tc>
        <w:tc>
          <w:tcPr>
            <w:tcW w:w="1361" w:type="dxa"/>
            <w:vAlign w:val="center"/>
          </w:tcPr>
          <w:p>
            <w:pPr>
              <w:pStyle w:val="11"/>
            </w:pPr>
            <w:r>
              <w:t>114.27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2111101</w:t>
            </w:r>
          </w:p>
        </w:tc>
        <w:tc>
          <w:tcPr>
            <w:tcW w:w="4535" w:type="dxa"/>
            <w:vAlign w:val="center"/>
          </w:tcPr>
          <w:p>
            <w:pPr>
              <w:pStyle w:val="12"/>
            </w:pPr>
            <w:r>
              <w:t>生态环境监测与信息</w:t>
            </w:r>
          </w:p>
        </w:tc>
        <w:tc>
          <w:tcPr>
            <w:tcW w:w="1361" w:type="dxa"/>
            <w:vAlign w:val="center"/>
          </w:tcPr>
          <w:p>
            <w:pPr>
              <w:pStyle w:val="11"/>
            </w:pPr>
            <w:r>
              <w:t>114.27</w:t>
            </w:r>
          </w:p>
        </w:tc>
        <w:tc>
          <w:tcPr>
            <w:tcW w:w="1361" w:type="dxa"/>
            <w:vAlign w:val="center"/>
          </w:tcPr>
          <w:p>
            <w:pPr>
              <w:pStyle w:val="11"/>
            </w:pPr>
            <w:r>
              <w:t>114.27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21199</w:t>
            </w:r>
          </w:p>
        </w:tc>
        <w:tc>
          <w:tcPr>
            <w:tcW w:w="4535" w:type="dxa"/>
            <w:vAlign w:val="center"/>
          </w:tcPr>
          <w:p>
            <w:pPr>
              <w:pStyle w:val="12"/>
            </w:pPr>
            <w:r>
              <w:t>其他节能环保支出</w:t>
            </w:r>
          </w:p>
        </w:tc>
        <w:tc>
          <w:tcPr>
            <w:tcW w:w="1361" w:type="dxa"/>
            <w:vAlign w:val="center"/>
          </w:tcPr>
          <w:p>
            <w:pPr>
              <w:pStyle w:val="11"/>
            </w:pPr>
            <w:r>
              <w:t>3.62</w:t>
            </w:r>
          </w:p>
        </w:tc>
        <w:tc>
          <w:tcPr>
            <w:tcW w:w="1361" w:type="dxa"/>
            <w:vAlign w:val="center"/>
          </w:tcPr>
          <w:p>
            <w:pPr>
              <w:pStyle w:val="11"/>
            </w:pPr>
            <w:r>
              <w:t>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2119999</w:t>
            </w:r>
          </w:p>
        </w:tc>
        <w:tc>
          <w:tcPr>
            <w:tcW w:w="4535" w:type="dxa"/>
            <w:vAlign w:val="center"/>
          </w:tcPr>
          <w:p>
            <w:pPr>
              <w:pStyle w:val="12"/>
            </w:pPr>
            <w:r>
              <w:t>其他节能环保支出</w:t>
            </w:r>
          </w:p>
        </w:tc>
        <w:tc>
          <w:tcPr>
            <w:tcW w:w="1361" w:type="dxa"/>
            <w:vAlign w:val="center"/>
          </w:tcPr>
          <w:p>
            <w:pPr>
              <w:pStyle w:val="11"/>
            </w:pPr>
            <w:r>
              <w:t>3.62</w:t>
            </w:r>
          </w:p>
        </w:tc>
        <w:tc>
          <w:tcPr>
            <w:tcW w:w="1361" w:type="dxa"/>
            <w:vAlign w:val="center"/>
          </w:tcPr>
          <w:p>
            <w:pPr>
              <w:pStyle w:val="11"/>
            </w:pPr>
            <w:r>
              <w:t>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698.03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14.24</w:t>
            </w:r>
          </w:p>
        </w:tc>
        <w:tc>
          <w:tcPr>
            <w:tcW w:w="1474" w:type="dxa"/>
            <w:vAlign w:val="center"/>
          </w:tcPr>
          <w:p>
            <w:pPr>
              <w:pStyle w:val="11"/>
            </w:pPr>
            <w:r>
              <w:t>14.24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4.88</w:t>
            </w:r>
          </w:p>
        </w:tc>
        <w:tc>
          <w:tcPr>
            <w:tcW w:w="1474" w:type="dxa"/>
            <w:vAlign w:val="center"/>
          </w:tcPr>
          <w:p>
            <w:pPr>
              <w:pStyle w:val="11"/>
            </w:pPr>
            <w:r>
              <w:t>4.88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567.89</w:t>
            </w:r>
          </w:p>
        </w:tc>
        <w:tc>
          <w:tcPr>
            <w:tcW w:w="1474" w:type="dxa"/>
            <w:vAlign w:val="center"/>
          </w:tcPr>
          <w:p>
            <w:pPr>
              <w:pStyle w:val="11"/>
            </w:pPr>
            <w:r>
              <w:t>567.89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100.00</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11.02</w:t>
            </w:r>
          </w:p>
        </w:tc>
        <w:tc>
          <w:tcPr>
            <w:tcW w:w="1474" w:type="dxa"/>
            <w:vAlign w:val="center"/>
          </w:tcPr>
          <w:p>
            <w:pPr>
              <w:pStyle w:val="11"/>
            </w:pPr>
            <w:r>
              <w:t>11.02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698.03</w:t>
            </w:r>
          </w:p>
        </w:tc>
        <w:tc>
          <w:tcPr>
            <w:tcW w:w="3402" w:type="dxa"/>
            <w:vAlign w:val="center"/>
          </w:tcPr>
          <w:p>
            <w:pPr>
              <w:pStyle w:val="14"/>
            </w:pPr>
            <w:r>
              <w:t>本年支出合计</w:t>
            </w:r>
          </w:p>
        </w:tc>
        <w:tc>
          <w:tcPr>
            <w:tcW w:w="1474" w:type="dxa"/>
            <w:vAlign w:val="center"/>
          </w:tcPr>
          <w:p>
            <w:pPr>
              <w:pStyle w:val="15"/>
            </w:pPr>
            <w:r>
              <w:t>698.03</w:t>
            </w:r>
          </w:p>
        </w:tc>
        <w:tc>
          <w:tcPr>
            <w:tcW w:w="1474" w:type="dxa"/>
            <w:vAlign w:val="center"/>
          </w:tcPr>
          <w:p>
            <w:pPr>
              <w:pStyle w:val="15"/>
            </w:pPr>
            <w:r>
              <w:t>698.03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698.03</w:t>
            </w:r>
          </w:p>
        </w:tc>
        <w:tc>
          <w:tcPr>
            <w:tcW w:w="3402" w:type="dxa"/>
            <w:vAlign w:val="center"/>
          </w:tcPr>
          <w:p>
            <w:pPr>
              <w:pStyle w:val="14"/>
            </w:pPr>
            <w:r>
              <w:t>支出总计</w:t>
            </w:r>
          </w:p>
        </w:tc>
        <w:tc>
          <w:tcPr>
            <w:tcW w:w="1474" w:type="dxa"/>
            <w:vAlign w:val="center"/>
          </w:tcPr>
          <w:p>
            <w:pPr>
              <w:pStyle w:val="15"/>
            </w:pPr>
            <w:r>
              <w:t>698.03</w:t>
            </w:r>
          </w:p>
        </w:tc>
        <w:tc>
          <w:tcPr>
            <w:tcW w:w="1474" w:type="dxa"/>
            <w:vAlign w:val="center"/>
          </w:tcPr>
          <w:p>
            <w:pPr>
              <w:pStyle w:val="15"/>
            </w:pPr>
            <w:r>
              <w:t>698.03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698.03</w:t>
            </w:r>
          </w:p>
        </w:tc>
        <w:tc>
          <w:tcPr>
            <w:tcW w:w="2551" w:type="dxa"/>
            <w:vAlign w:val="center"/>
          </w:tcPr>
          <w:p>
            <w:pPr>
              <w:pStyle w:val="15"/>
            </w:pPr>
            <w:r>
              <w:t>148.03</w:t>
            </w:r>
          </w:p>
        </w:tc>
        <w:tc>
          <w:tcPr>
            <w:tcW w:w="2551" w:type="dxa"/>
            <w:vAlign w:val="center"/>
          </w:tcPr>
          <w:p>
            <w:pPr>
              <w:pStyle w:val="15"/>
            </w:pPr>
            <w:r>
              <w:t>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14.24</w:t>
            </w:r>
          </w:p>
        </w:tc>
        <w:tc>
          <w:tcPr>
            <w:tcW w:w="2551" w:type="dxa"/>
            <w:vAlign w:val="center"/>
          </w:tcPr>
          <w:p>
            <w:pPr>
              <w:pStyle w:val="11"/>
            </w:pPr>
            <w:r>
              <w:t>14.24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14.24</w:t>
            </w:r>
          </w:p>
        </w:tc>
        <w:tc>
          <w:tcPr>
            <w:tcW w:w="2551" w:type="dxa"/>
            <w:vAlign w:val="center"/>
          </w:tcPr>
          <w:p>
            <w:pPr>
              <w:pStyle w:val="11"/>
            </w:pPr>
            <w:r>
              <w:t>14.24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14.24</w:t>
            </w:r>
          </w:p>
        </w:tc>
        <w:tc>
          <w:tcPr>
            <w:tcW w:w="2551" w:type="dxa"/>
            <w:vAlign w:val="center"/>
          </w:tcPr>
          <w:p>
            <w:pPr>
              <w:pStyle w:val="11"/>
            </w:pPr>
            <w:r>
              <w:t>14.24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567.89</w:t>
            </w:r>
          </w:p>
        </w:tc>
        <w:tc>
          <w:tcPr>
            <w:tcW w:w="2551" w:type="dxa"/>
            <w:vAlign w:val="center"/>
          </w:tcPr>
          <w:p>
            <w:pPr>
              <w:pStyle w:val="11"/>
            </w:pPr>
            <w:r>
              <w:t>117.89</w:t>
            </w: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21111</w:t>
            </w:r>
          </w:p>
        </w:tc>
        <w:tc>
          <w:tcPr>
            <w:tcW w:w="4535" w:type="dxa"/>
            <w:vAlign w:val="center"/>
          </w:tcPr>
          <w:p>
            <w:pPr>
              <w:pStyle w:val="12"/>
            </w:pPr>
            <w:r>
              <w:t>污染减排</w:t>
            </w:r>
          </w:p>
        </w:tc>
        <w:tc>
          <w:tcPr>
            <w:tcW w:w="2551" w:type="dxa"/>
            <w:vAlign w:val="center"/>
          </w:tcPr>
          <w:p>
            <w:pPr>
              <w:pStyle w:val="11"/>
            </w:pPr>
            <w:r>
              <w:t>114.27</w:t>
            </w:r>
          </w:p>
        </w:tc>
        <w:tc>
          <w:tcPr>
            <w:tcW w:w="2551" w:type="dxa"/>
            <w:vAlign w:val="center"/>
          </w:tcPr>
          <w:p>
            <w:pPr>
              <w:pStyle w:val="11"/>
            </w:pPr>
            <w:r>
              <w:t>114.27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2111101</w:t>
            </w:r>
          </w:p>
        </w:tc>
        <w:tc>
          <w:tcPr>
            <w:tcW w:w="4535" w:type="dxa"/>
            <w:vAlign w:val="center"/>
          </w:tcPr>
          <w:p>
            <w:pPr>
              <w:pStyle w:val="12"/>
            </w:pPr>
            <w:r>
              <w:t>生态环境监测与信息</w:t>
            </w:r>
          </w:p>
        </w:tc>
        <w:tc>
          <w:tcPr>
            <w:tcW w:w="2551" w:type="dxa"/>
            <w:vAlign w:val="center"/>
          </w:tcPr>
          <w:p>
            <w:pPr>
              <w:pStyle w:val="11"/>
            </w:pPr>
            <w:r>
              <w:t>114.27</w:t>
            </w:r>
          </w:p>
        </w:tc>
        <w:tc>
          <w:tcPr>
            <w:tcW w:w="2551" w:type="dxa"/>
            <w:vAlign w:val="center"/>
          </w:tcPr>
          <w:p>
            <w:pPr>
              <w:pStyle w:val="11"/>
            </w:pPr>
            <w:r>
              <w:t>114.27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21199</w:t>
            </w:r>
          </w:p>
        </w:tc>
        <w:tc>
          <w:tcPr>
            <w:tcW w:w="4535" w:type="dxa"/>
            <w:vAlign w:val="center"/>
          </w:tcPr>
          <w:p>
            <w:pPr>
              <w:pStyle w:val="12"/>
            </w:pPr>
            <w:r>
              <w:t>其他节能环保支出</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2119999</w:t>
            </w:r>
          </w:p>
        </w:tc>
        <w:tc>
          <w:tcPr>
            <w:tcW w:w="4535" w:type="dxa"/>
            <w:vAlign w:val="center"/>
          </w:tcPr>
          <w:p>
            <w:pPr>
              <w:pStyle w:val="12"/>
            </w:pPr>
            <w:r>
              <w:t>其他节能环保支出</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148.03</w:t>
            </w:r>
          </w:p>
        </w:tc>
        <w:tc>
          <w:tcPr>
            <w:tcW w:w="2551" w:type="dxa"/>
            <w:vAlign w:val="center"/>
          </w:tcPr>
          <w:p>
            <w:pPr>
              <w:pStyle w:val="15"/>
            </w:pPr>
            <w:r>
              <w:t>139.12</w:t>
            </w:r>
          </w:p>
        </w:tc>
        <w:tc>
          <w:tcPr>
            <w:tcW w:w="2551" w:type="dxa"/>
            <w:vAlign w:val="center"/>
          </w:tcPr>
          <w:p>
            <w:pPr>
              <w:pStyle w:val="15"/>
            </w:pPr>
            <w:r>
              <w:t>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139.12</w:t>
            </w:r>
          </w:p>
        </w:tc>
        <w:tc>
          <w:tcPr>
            <w:tcW w:w="2551" w:type="dxa"/>
            <w:vAlign w:val="center"/>
          </w:tcPr>
          <w:p>
            <w:pPr>
              <w:pStyle w:val="11"/>
            </w:pPr>
            <w:r>
              <w:t>139.12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40.09</w:t>
            </w:r>
          </w:p>
        </w:tc>
        <w:tc>
          <w:tcPr>
            <w:tcW w:w="2551" w:type="dxa"/>
            <w:vAlign w:val="center"/>
          </w:tcPr>
          <w:p>
            <w:pPr>
              <w:pStyle w:val="11"/>
            </w:pPr>
            <w:r>
              <w:t>40.09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7.82</w:t>
            </w:r>
          </w:p>
        </w:tc>
        <w:tc>
          <w:tcPr>
            <w:tcW w:w="2551" w:type="dxa"/>
            <w:vAlign w:val="center"/>
          </w:tcPr>
          <w:p>
            <w:pPr>
              <w:pStyle w:val="11"/>
            </w:pPr>
            <w:r>
              <w:t>7.82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56.57</w:t>
            </w:r>
          </w:p>
        </w:tc>
        <w:tc>
          <w:tcPr>
            <w:tcW w:w="2551" w:type="dxa"/>
            <w:vAlign w:val="center"/>
          </w:tcPr>
          <w:p>
            <w:pPr>
              <w:pStyle w:val="11"/>
            </w:pPr>
            <w:r>
              <w:t>56.57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14.24</w:t>
            </w:r>
          </w:p>
        </w:tc>
        <w:tc>
          <w:tcPr>
            <w:tcW w:w="2551" w:type="dxa"/>
            <w:vAlign w:val="center"/>
          </w:tcPr>
          <w:p>
            <w:pPr>
              <w:pStyle w:val="11"/>
            </w:pPr>
            <w:r>
              <w:t>14.24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4.88</w:t>
            </w:r>
          </w:p>
        </w:tc>
        <w:tc>
          <w:tcPr>
            <w:tcW w:w="2551" w:type="dxa"/>
            <w:vAlign w:val="center"/>
          </w:tcPr>
          <w:p>
            <w:pPr>
              <w:pStyle w:val="11"/>
            </w:pPr>
            <w:r>
              <w:t>4.88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8.91</w:t>
            </w:r>
          </w:p>
        </w:tc>
        <w:tc>
          <w:tcPr>
            <w:tcW w:w="2551" w:type="dxa"/>
            <w:vAlign w:val="center"/>
          </w:tcPr>
          <w:p>
            <w:pPr>
              <w:pStyle w:val="11"/>
            </w:pPr>
          </w:p>
        </w:tc>
        <w:tc>
          <w:tcPr>
            <w:tcW w:w="2551" w:type="dxa"/>
            <w:vAlign w:val="center"/>
          </w:tcPr>
          <w:p>
            <w:pPr>
              <w:pStyle w:val="11"/>
            </w:pPr>
            <w:r>
              <w:t>8.91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1.45</w:t>
            </w:r>
          </w:p>
        </w:tc>
        <w:tc>
          <w:tcPr>
            <w:tcW w:w="2551" w:type="dxa"/>
            <w:vAlign w:val="center"/>
          </w:tcPr>
          <w:p>
            <w:pPr>
              <w:pStyle w:val="11"/>
            </w:pPr>
          </w:p>
        </w:tc>
        <w:tc>
          <w:tcPr>
            <w:tcW w:w="2551" w:type="dxa"/>
            <w:vAlign w:val="center"/>
          </w:tcPr>
          <w:p>
            <w:pPr>
              <w:pStyle w:val="11"/>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4.51</w:t>
            </w:r>
          </w:p>
        </w:tc>
        <w:tc>
          <w:tcPr>
            <w:tcW w:w="2551" w:type="dxa"/>
            <w:vAlign w:val="center"/>
          </w:tcPr>
          <w:p>
            <w:pPr>
              <w:pStyle w:val="11"/>
            </w:pPr>
          </w:p>
        </w:tc>
        <w:tc>
          <w:tcPr>
            <w:tcW w:w="2551" w:type="dxa"/>
            <w:vAlign w:val="center"/>
          </w:tcPr>
          <w:p>
            <w:pPr>
              <w:pStyle w:val="11"/>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0.11</w:t>
            </w:r>
          </w:p>
        </w:tc>
        <w:tc>
          <w:tcPr>
            <w:tcW w:w="2551" w:type="dxa"/>
            <w:vAlign w:val="center"/>
          </w:tcPr>
          <w:p>
            <w:pPr>
              <w:pStyle w:val="11"/>
            </w:pPr>
          </w:p>
        </w:tc>
        <w:tc>
          <w:tcPr>
            <w:tcW w:w="2551" w:type="dxa"/>
            <w:vAlign w:val="center"/>
          </w:tcPr>
          <w:p>
            <w:pPr>
              <w:pStyle w:val="11"/>
            </w:pPr>
            <w:r>
              <w:t>0.11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4.55</w:t>
            </w:r>
          </w:p>
        </w:tc>
        <w:tc>
          <w:tcPr>
            <w:tcW w:w="2381" w:type="dxa"/>
            <w:vAlign w:val="center"/>
          </w:tcPr>
          <w:p>
            <w:pPr>
              <w:pStyle w:val="15"/>
            </w:pPr>
            <w:r>
              <w:t>4.55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4.55</w:t>
            </w:r>
          </w:p>
        </w:tc>
        <w:tc>
          <w:tcPr>
            <w:tcW w:w="2381" w:type="dxa"/>
            <w:vAlign w:val="center"/>
          </w:tcPr>
          <w:p>
            <w:pPr>
              <w:pStyle w:val="11"/>
            </w:pPr>
            <w:r>
              <w:t>4.55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4.51</w:t>
            </w:r>
          </w:p>
        </w:tc>
        <w:tc>
          <w:tcPr>
            <w:tcW w:w="2381" w:type="dxa"/>
            <w:vAlign w:val="center"/>
          </w:tcPr>
          <w:p>
            <w:pPr>
              <w:pStyle w:val="11"/>
            </w:pPr>
            <w:r>
              <w:t>4.51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4.51</w:t>
            </w:r>
          </w:p>
        </w:tc>
        <w:tc>
          <w:tcPr>
            <w:tcW w:w="2381" w:type="dxa"/>
            <w:vAlign w:val="center"/>
          </w:tcPr>
          <w:p>
            <w:pPr>
              <w:pStyle w:val="11"/>
            </w:pPr>
            <w:r>
              <w:t>4.51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0.04</w:t>
            </w:r>
          </w:p>
        </w:tc>
        <w:tc>
          <w:tcPr>
            <w:tcW w:w="2381" w:type="dxa"/>
            <w:vAlign w:val="center"/>
          </w:tcPr>
          <w:p>
            <w:pPr>
              <w:pStyle w:val="11"/>
            </w:pPr>
            <w:r>
              <w:t>0.04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秦皇岛市海港区生态保护服务中心本级2025年单位预算信息公开情况说明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按照《中华人民共和国预算法》、《地方预决算公开操作规程》和《关于进一步推进预算公开工作的实施意见》规定，现将秦皇岛市海港区生态保护服务中心本级2025年单位预算公开如下：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1.为生态环境部门和涉及大气、水、土壤污染防治等单位的事务性工作提供服务。</w:t>
      </w:r>
    </w:p>
    <w:p>
      <w:pPr>
        <w:pStyle w:val="17"/>
      </w:pPr>
      <w:r>
        <w:t>2.为辖区内各种环境要素质量的监测分析和污染物排放监督监测相关事务提供服务。</w:t>
      </w:r>
    </w:p>
    <w:p>
      <w:pPr>
        <w:pStyle w:val="17"/>
      </w:pPr>
      <w:r>
        <w:t>3.为乡镇（街道）等生态环境事务工作提供服务。</w:t>
      </w:r>
    </w:p>
    <w:p>
      <w:pPr>
        <w:pStyle w:val="17"/>
      </w:pPr>
      <w:r>
        <w:t>4.开展调查研究，为相关部门提供意见和建议。</w:t>
      </w:r>
    </w:p>
    <w:p>
      <w:pPr>
        <w:pStyle w:val="17"/>
      </w:pPr>
      <w:r>
        <w:t>5.完成区委、区政府交办的其他任务。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秦皇岛市海港区生态保护服务中心本级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698.03万元，其中：一般公共预算收入698.03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海港区生态保护服务中心本级年度单位预算中支出预算的总体情况。2025年支出预算698.03万元，其中基本支出148.03万元，包括人员经费139.12万元和日常公用经费8.91万元；项目支出550.00万元，主要为大气污染防治工作经费</w:t>
      </w:r>
    </w:p>
    <w:p>
      <w:pPr>
        <w:pStyle w:val="18"/>
      </w:pPr>
      <w:r>
        <w:t>3、比上年增减情况</w:t>
      </w:r>
    </w:p>
    <w:p>
      <w:pPr>
        <w:pStyle w:val="18"/>
      </w:pPr>
      <w:r>
        <w:t>2025年预算收支安排698.03万元，较2024年预算增加15.57万元，其中：基本支出减少34.43万元，主要为人员变动项目支出增加50.00万元，主要为项目预算增加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360" w:lineRule="auto"/>
        <w:ind w:firstLine="560" w:firstLineChars="200"/>
        <w:jc w:val="left"/>
        <w:outlineLvl w:val="2"/>
      </w:pPr>
      <w:r>
        <w:rPr>
          <w:rFonts w:hint="eastAsia" w:ascii="Times New Roman" w:hAnsi="Times New Roman" w:eastAsia="方正仿宋_GBK" w:cs="Times New Roman"/>
          <w:sz w:val="28"/>
          <w:szCs w:val="20"/>
          <w:lang w:val="en-US" w:eastAsia="zh-CN"/>
        </w:rPr>
        <w:t>2025年机关运行经费预算安排4.</w:t>
      </w:r>
      <w:r>
        <w:rPr>
          <w:rFonts w:hint="eastAsia" w:eastAsia="方正仿宋_GBK" w:cs="Times New Roman"/>
          <w:sz w:val="28"/>
          <w:szCs w:val="20"/>
          <w:lang w:val="en-US" w:eastAsia="zh-CN"/>
        </w:rPr>
        <w:t>36</w:t>
      </w:r>
      <w:r>
        <w:rPr>
          <w:rFonts w:hint="eastAsia" w:ascii="Times New Roman" w:hAnsi="Times New Roman" w:eastAsia="方正仿宋_GBK" w:cs="Times New Roman"/>
          <w:sz w:val="28"/>
          <w:szCs w:val="20"/>
          <w:lang w:val="en-US" w:eastAsia="zh-CN"/>
        </w:rPr>
        <w:t>万元，其中办公经费1.8万元，工会经费1.45万元，福利费1万元</w:t>
      </w:r>
      <w:r>
        <w:rPr>
          <w:rFonts w:hint="eastAsia" w:eastAsia="方正仿宋_GBK" w:cs="Times New Roman"/>
          <w:sz w:val="28"/>
          <w:szCs w:val="20"/>
          <w:lang w:val="en-US" w:eastAsia="zh-CN"/>
        </w:rPr>
        <w:t>，其他商品和服务支出0.11万元。</w:t>
      </w:r>
      <w:bookmarkStart w:id="1" w:name="_GoBack"/>
      <w:bookmarkEnd w:id="1"/>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4.55万元，其中因公出国（境）费0.00万元；公务用车购置及运维费4.51万元（其中：公务用车购置费为0.00万元，公务用车运维费4.51万元)；公务接待费0.04万元。与2024年相比增加4.55万元，增减变化的主要原因是增加两台公务用车维护费及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1、拆违项目资金绩效目标表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13030225P00016110008E</w:t>
            </w:r>
          </w:p>
        </w:tc>
        <w:tc>
          <w:tcPr>
            <w:tcW w:w="2835" w:type="dxa"/>
            <w:vAlign w:val="center"/>
          </w:tcPr>
          <w:p>
            <w:pPr>
              <w:pStyle w:val="10"/>
            </w:pPr>
            <w:r>
              <w:t>项目名称</w:t>
            </w:r>
          </w:p>
        </w:tc>
        <w:tc>
          <w:tcPr>
            <w:tcW w:w="6095" w:type="dxa"/>
            <w:gridSpan w:val="3"/>
            <w:vAlign w:val="center"/>
          </w:tcPr>
          <w:p>
            <w:pPr>
              <w:pStyle w:val="12"/>
            </w:pPr>
            <w:r>
              <w:t>拆违项目资金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完成原综合执法协调工作办公室2017年“双违”拆除工程100万元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1.完成原综合执法协调工作办公室2017年“双违”拆除工程100万元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完成2017年1月-12月工程数量</w:t>
            </w:r>
          </w:p>
        </w:tc>
        <w:tc>
          <w:tcPr>
            <w:tcW w:w="5386" w:type="dxa"/>
            <w:vAlign w:val="center"/>
          </w:tcPr>
          <w:p>
            <w:pPr>
              <w:pStyle w:val="12"/>
            </w:pPr>
            <w:r>
              <w:t>已完成2017年1-12月工程数量</w:t>
            </w:r>
          </w:p>
        </w:tc>
        <w:tc>
          <w:tcPr>
            <w:tcW w:w="2268" w:type="dxa"/>
            <w:vAlign w:val="center"/>
          </w:tcPr>
          <w:p>
            <w:pPr>
              <w:pStyle w:val="12"/>
            </w:pPr>
            <w:r>
              <w:t>4个</w:t>
            </w:r>
          </w:p>
        </w:tc>
        <w:tc>
          <w:tcPr>
            <w:tcW w:w="1276" w:type="dxa"/>
            <w:vAlign w:val="center"/>
          </w:tcPr>
          <w:p>
            <w:pPr>
              <w:pStyle w:val="12"/>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双违工程验收合格率</w:t>
            </w:r>
          </w:p>
        </w:tc>
        <w:tc>
          <w:tcPr>
            <w:tcW w:w="2268" w:type="dxa"/>
            <w:vAlign w:val="center"/>
          </w:tcPr>
          <w:p>
            <w:pPr>
              <w:pStyle w:val="12"/>
            </w:pPr>
            <w:r>
              <w:t>100%</w:t>
            </w:r>
          </w:p>
        </w:tc>
        <w:tc>
          <w:tcPr>
            <w:tcW w:w="1276" w:type="dxa"/>
            <w:vAlign w:val="center"/>
          </w:tcPr>
          <w:p>
            <w:pPr>
              <w:pStyle w:val="12"/>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2017年拆违工作完成时间</w:t>
            </w:r>
          </w:p>
        </w:tc>
        <w:tc>
          <w:tcPr>
            <w:tcW w:w="5386" w:type="dxa"/>
            <w:vAlign w:val="center"/>
          </w:tcPr>
          <w:p>
            <w:pPr>
              <w:pStyle w:val="12"/>
            </w:pPr>
            <w:r>
              <w:t>2017年双违拆除工作时间</w:t>
            </w:r>
          </w:p>
        </w:tc>
        <w:tc>
          <w:tcPr>
            <w:tcW w:w="2268" w:type="dxa"/>
            <w:vAlign w:val="center"/>
          </w:tcPr>
          <w:p>
            <w:pPr>
              <w:pStyle w:val="12"/>
            </w:pPr>
            <w:r>
              <w:t>1年</w:t>
            </w:r>
          </w:p>
        </w:tc>
        <w:tc>
          <w:tcPr>
            <w:tcW w:w="1276" w:type="dxa"/>
            <w:vAlign w:val="center"/>
          </w:tcPr>
          <w:p>
            <w:pPr>
              <w:pStyle w:val="12"/>
            </w:pPr>
            <w:r>
              <w:t>财政报告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控制2017年拆违工程款</w:t>
            </w:r>
          </w:p>
        </w:tc>
        <w:tc>
          <w:tcPr>
            <w:tcW w:w="5386" w:type="dxa"/>
            <w:vAlign w:val="center"/>
          </w:tcPr>
          <w:p>
            <w:pPr>
              <w:pStyle w:val="12"/>
            </w:pPr>
            <w:r>
              <w:t>拆违工程小于等于预算金额</w:t>
            </w:r>
          </w:p>
        </w:tc>
        <w:tc>
          <w:tcPr>
            <w:tcW w:w="2268" w:type="dxa"/>
            <w:vAlign w:val="center"/>
          </w:tcPr>
          <w:p>
            <w:pPr>
              <w:pStyle w:val="12"/>
            </w:pPr>
            <w:r>
              <w:t>100万元</w:t>
            </w:r>
          </w:p>
        </w:tc>
        <w:tc>
          <w:tcPr>
            <w:tcW w:w="1276" w:type="dxa"/>
            <w:vAlign w:val="center"/>
          </w:tcPr>
          <w:p>
            <w:pPr>
              <w:pStyle w:val="12"/>
            </w:pPr>
            <w:r>
              <w:t>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增强意识，提高质量和效率</w:t>
            </w:r>
          </w:p>
        </w:tc>
        <w:tc>
          <w:tcPr>
            <w:tcW w:w="5386" w:type="dxa"/>
            <w:vAlign w:val="center"/>
          </w:tcPr>
          <w:p>
            <w:pPr>
              <w:pStyle w:val="12"/>
            </w:pPr>
            <w:r>
              <w:t>解决上访问题</w:t>
            </w:r>
          </w:p>
        </w:tc>
        <w:tc>
          <w:tcPr>
            <w:tcW w:w="2268" w:type="dxa"/>
            <w:vAlign w:val="center"/>
          </w:tcPr>
          <w:p>
            <w:pPr>
              <w:pStyle w:val="12"/>
            </w:pPr>
            <w:r>
              <w:t>稳定社会治安</w:t>
            </w:r>
          </w:p>
        </w:tc>
        <w:tc>
          <w:tcPr>
            <w:tcW w:w="1276" w:type="dxa"/>
            <w:vAlign w:val="center"/>
          </w:tcPr>
          <w:p>
            <w:pPr>
              <w:pStyle w:val="12"/>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13030225P000157100133</w:t>
            </w:r>
          </w:p>
        </w:tc>
        <w:tc>
          <w:tcPr>
            <w:tcW w:w="2835" w:type="dxa"/>
            <w:vAlign w:val="center"/>
          </w:tcPr>
          <w:p>
            <w:pPr>
              <w:pStyle w:val="10"/>
            </w:pPr>
            <w:r>
              <w:t>项目名称</w:t>
            </w:r>
          </w:p>
        </w:tc>
        <w:tc>
          <w:tcPr>
            <w:tcW w:w="6095" w:type="dxa"/>
            <w:gridSpan w:val="3"/>
            <w:vAlign w:val="center"/>
          </w:tcPr>
          <w:p>
            <w:pPr>
              <w:pStyle w:val="12"/>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监测服务通过专家团队对大气污染数据专业分析，从源头开展全区域巡查精准定位污染源存在问题，提出管控措施进行空气质量综合治理，开展重点区域周边环境治理，空气质量持续改善，完成省市下达的年度目标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 xml:space="preserve"> </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监测服务通过专家团队对大气污染数据专业分析，从源头开展全区域巡查精准定位污染源存在问题，提出管控措施进行空气质量综合治理，开展重点区域周边环境治理，空气质量持续改善，完成省市下达的年度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涉及工作数量</w:t>
            </w:r>
          </w:p>
        </w:tc>
        <w:tc>
          <w:tcPr>
            <w:tcW w:w="5386" w:type="dxa"/>
            <w:vAlign w:val="center"/>
          </w:tcPr>
          <w:p>
            <w:pPr>
              <w:pStyle w:val="12"/>
            </w:pPr>
            <w:r>
              <w:t>涉及工作的数量</w:t>
            </w:r>
          </w:p>
        </w:tc>
        <w:tc>
          <w:tcPr>
            <w:tcW w:w="2268" w:type="dxa"/>
            <w:vAlign w:val="center"/>
          </w:tcPr>
          <w:p>
            <w:pPr>
              <w:pStyle w:val="12"/>
            </w:pPr>
            <w:r>
              <w:t>1项</w:t>
            </w:r>
          </w:p>
        </w:tc>
        <w:tc>
          <w:tcPr>
            <w:tcW w:w="1276" w:type="dxa"/>
            <w:vAlign w:val="center"/>
          </w:tcPr>
          <w:p>
            <w:pPr>
              <w:pStyle w:val="12"/>
            </w:pPr>
            <w:r>
              <w:t>采购合同及中标通知书、年初工作计划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各项工作完成合格率</w:t>
            </w:r>
          </w:p>
        </w:tc>
        <w:tc>
          <w:tcPr>
            <w:tcW w:w="2268" w:type="dxa"/>
            <w:vAlign w:val="center"/>
          </w:tcPr>
          <w:p>
            <w:pPr>
              <w:pStyle w:val="12"/>
            </w:pPr>
            <w:r>
              <w:t>100%</w:t>
            </w:r>
          </w:p>
        </w:tc>
        <w:tc>
          <w:tcPr>
            <w:tcW w:w="1276" w:type="dxa"/>
            <w:vAlign w:val="center"/>
          </w:tcPr>
          <w:p>
            <w:pPr>
              <w:pStyle w:val="12"/>
            </w:pPr>
            <w:r>
              <w:t>采购合同及中标通知书、年初工作计划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各项工作完成及时率</w:t>
            </w:r>
          </w:p>
        </w:tc>
        <w:tc>
          <w:tcPr>
            <w:tcW w:w="2268" w:type="dxa"/>
            <w:vAlign w:val="center"/>
          </w:tcPr>
          <w:p>
            <w:pPr>
              <w:pStyle w:val="12"/>
            </w:pPr>
            <w:r>
              <w:t>100%</w:t>
            </w:r>
          </w:p>
        </w:tc>
        <w:tc>
          <w:tcPr>
            <w:tcW w:w="1276" w:type="dxa"/>
            <w:vAlign w:val="center"/>
          </w:tcPr>
          <w:p>
            <w:pPr>
              <w:pStyle w:val="12"/>
            </w:pPr>
            <w:r>
              <w:t>采购合同及中标通知书、年初工作计划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成本费用的控制</w:t>
            </w:r>
          </w:p>
        </w:tc>
        <w:tc>
          <w:tcPr>
            <w:tcW w:w="5386" w:type="dxa"/>
            <w:vAlign w:val="center"/>
          </w:tcPr>
          <w:p>
            <w:pPr>
              <w:pStyle w:val="12"/>
            </w:pPr>
            <w:r>
              <w:t>控制总费用的实际支出小于等于预算</w:t>
            </w:r>
          </w:p>
        </w:tc>
        <w:tc>
          <w:tcPr>
            <w:tcW w:w="2268" w:type="dxa"/>
            <w:vAlign w:val="center"/>
          </w:tcPr>
          <w:p>
            <w:pPr>
              <w:pStyle w:val="12"/>
            </w:pPr>
            <w:r>
              <w:t>≤450万元</w:t>
            </w:r>
          </w:p>
        </w:tc>
        <w:tc>
          <w:tcPr>
            <w:tcW w:w="1276" w:type="dxa"/>
            <w:vAlign w:val="center"/>
          </w:tcPr>
          <w:p>
            <w:pPr>
              <w:pStyle w:val="12"/>
            </w:pPr>
            <w:r>
              <w:t>采购合同及中标通知书、年初工作计划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空气质量改善的各项数据支撑</w:t>
            </w:r>
          </w:p>
        </w:tc>
        <w:tc>
          <w:tcPr>
            <w:tcW w:w="5386" w:type="dxa"/>
            <w:vAlign w:val="center"/>
          </w:tcPr>
          <w:p>
            <w:pPr>
              <w:pStyle w:val="12"/>
            </w:pPr>
            <w:r>
              <w:t>完成大气重污染动态成因跟踪分析、报告及专家解读</w:t>
            </w:r>
          </w:p>
        </w:tc>
        <w:tc>
          <w:tcPr>
            <w:tcW w:w="2268" w:type="dxa"/>
            <w:vAlign w:val="center"/>
          </w:tcPr>
          <w:p>
            <w:pPr>
              <w:pStyle w:val="12"/>
            </w:pPr>
            <w:r>
              <w:t>比上年有所提高</w:t>
            </w:r>
          </w:p>
        </w:tc>
        <w:tc>
          <w:tcPr>
            <w:tcW w:w="1276" w:type="dxa"/>
            <w:vAlign w:val="center"/>
          </w:tcPr>
          <w:p>
            <w:pPr>
              <w:pStyle w:val="12"/>
            </w:pPr>
            <w:r>
              <w:t>采购合同及中标通知书、年初工作计划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对海港区及周边各类污染源进行巡查、暗访、提供现场技术指导等</w:t>
            </w:r>
          </w:p>
        </w:tc>
        <w:tc>
          <w:tcPr>
            <w:tcW w:w="5386" w:type="dxa"/>
            <w:vAlign w:val="center"/>
          </w:tcPr>
          <w:p>
            <w:pPr>
              <w:pStyle w:val="12"/>
            </w:pPr>
            <w:r>
              <w:t>对海港区及周边各类污染源进行巡查、暗访、提供现场技术指导等</w:t>
            </w:r>
          </w:p>
        </w:tc>
        <w:tc>
          <w:tcPr>
            <w:tcW w:w="2268" w:type="dxa"/>
            <w:vAlign w:val="center"/>
          </w:tcPr>
          <w:p>
            <w:pPr>
              <w:pStyle w:val="12"/>
            </w:pPr>
            <w:r>
              <w:t>比上年有所提高</w:t>
            </w:r>
          </w:p>
        </w:tc>
        <w:tc>
          <w:tcPr>
            <w:tcW w:w="1276" w:type="dxa"/>
            <w:vAlign w:val="center"/>
          </w:tcPr>
          <w:p>
            <w:pPr>
              <w:pStyle w:val="12"/>
            </w:pPr>
            <w:r>
              <w:t>采购合同及中标通知书、年初工作计划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改善我区生态环境，对重污染天气进行预警</w:t>
            </w:r>
          </w:p>
          <w:p>
            <w:pPr>
              <w:pStyle w:val="12"/>
            </w:pPr>
          </w:p>
        </w:tc>
        <w:tc>
          <w:tcPr>
            <w:tcW w:w="5386" w:type="dxa"/>
            <w:vAlign w:val="center"/>
          </w:tcPr>
          <w:p>
            <w:pPr>
              <w:pStyle w:val="12"/>
            </w:pPr>
            <w:r>
              <w:t>改善我区生态环境，对重污染天气进行预警</w:t>
            </w:r>
          </w:p>
          <w:p>
            <w:pPr>
              <w:pStyle w:val="12"/>
            </w:pPr>
          </w:p>
        </w:tc>
        <w:tc>
          <w:tcPr>
            <w:tcW w:w="2268" w:type="dxa"/>
            <w:vAlign w:val="center"/>
          </w:tcPr>
          <w:p>
            <w:pPr>
              <w:pStyle w:val="12"/>
            </w:pPr>
            <w:r>
              <w:t>比上年有所提高</w:t>
            </w:r>
          </w:p>
        </w:tc>
        <w:tc>
          <w:tcPr>
            <w:tcW w:w="1276" w:type="dxa"/>
            <w:vAlign w:val="center"/>
          </w:tcPr>
          <w:p>
            <w:pPr>
              <w:pStyle w:val="12"/>
            </w:pPr>
            <w:r>
              <w:t>采购合同及中标通知书、年初工作计划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调查中满意人数占调查总人数比例</w:t>
            </w:r>
          </w:p>
          <w:p>
            <w:pPr>
              <w:pStyle w:val="12"/>
            </w:pPr>
          </w:p>
        </w:tc>
        <w:tc>
          <w:tcPr>
            <w:tcW w:w="2268" w:type="dxa"/>
            <w:vAlign w:val="center"/>
          </w:tcPr>
          <w:p>
            <w:pPr>
              <w:pStyle w:val="12"/>
            </w:pPr>
            <w:r>
              <w:t>≥95</w:t>
            </w:r>
          </w:p>
        </w:tc>
        <w:tc>
          <w:tcPr>
            <w:tcW w:w="1276" w:type="dxa"/>
            <w:vAlign w:val="center"/>
          </w:tcPr>
          <w:p>
            <w:pPr>
              <w:pStyle w:val="12"/>
            </w:pPr>
            <w:r>
              <w:t>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555.52</w:t>
            </w:r>
          </w:p>
        </w:tc>
        <w:tc>
          <w:tcPr>
            <w:tcW w:w="964" w:type="dxa"/>
            <w:vAlign w:val="center"/>
          </w:tcPr>
          <w:p>
            <w:pPr>
              <w:pStyle w:val="15"/>
            </w:pPr>
            <w:r>
              <w:t>555.52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秦皇岛市海港区生态保护服务中心本级小计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555.52</w:t>
            </w:r>
          </w:p>
        </w:tc>
        <w:tc>
          <w:tcPr>
            <w:tcW w:w="964" w:type="dxa"/>
            <w:vAlign w:val="center"/>
          </w:tcPr>
          <w:p>
            <w:pPr>
              <w:pStyle w:val="15"/>
            </w:pPr>
            <w:r>
              <w:t>555.52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7.11</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0.25</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7.11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7.11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1.01</w:t>
            </w:r>
          </w:p>
        </w:tc>
        <w:tc>
          <w:tcPr>
            <w:tcW w:w="964" w:type="dxa"/>
            <w:vAlign w:val="center"/>
          </w:tcPr>
          <w:p>
            <w:pPr>
              <w:pStyle w:val="11"/>
            </w:pPr>
            <w:r>
              <w:t>2.01</w:t>
            </w:r>
          </w:p>
        </w:tc>
        <w:tc>
          <w:tcPr>
            <w:tcW w:w="964" w:type="dxa"/>
            <w:vAlign w:val="center"/>
          </w:tcPr>
          <w:p>
            <w:pPr>
              <w:pStyle w:val="11"/>
            </w:pPr>
            <w:r>
              <w:t>2.01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300</w:t>
            </w:r>
          </w:p>
        </w:tc>
        <w:tc>
          <w:tcPr>
            <w:tcW w:w="850" w:type="dxa"/>
            <w:vAlign w:val="center"/>
          </w:tcPr>
          <w:p>
            <w:pPr>
              <w:pStyle w:val="11"/>
            </w:pPr>
            <w:r>
              <w:t>0.00</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1.80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18</w:t>
            </w:r>
          </w:p>
        </w:tc>
        <w:tc>
          <w:tcPr>
            <w:tcW w:w="850" w:type="dxa"/>
            <w:vAlign w:val="center"/>
          </w:tcPr>
          <w:p>
            <w:pPr>
              <w:pStyle w:val="11"/>
            </w:pPr>
            <w:r>
              <w:t>0.03</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拆违项目资金</w:t>
            </w:r>
          </w:p>
        </w:tc>
        <w:tc>
          <w:tcPr>
            <w:tcW w:w="964" w:type="dxa"/>
            <w:vAlign w:val="center"/>
          </w:tcPr>
          <w:p>
            <w:pPr>
              <w:pStyle w:val="11"/>
            </w:pPr>
            <w:r>
              <w:t>100.00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大气污染防治工作经费</w:t>
            </w:r>
          </w:p>
        </w:tc>
        <w:tc>
          <w:tcPr>
            <w:tcW w:w="964" w:type="dxa"/>
            <w:vAlign w:val="center"/>
          </w:tcPr>
          <w:p>
            <w:pPr>
              <w:pStyle w:val="11"/>
            </w:pPr>
            <w:r>
              <w:t>450.00</w:t>
            </w:r>
          </w:p>
        </w:tc>
        <w:tc>
          <w:tcPr>
            <w:tcW w:w="1134" w:type="dxa"/>
            <w:vAlign w:val="center"/>
          </w:tcPr>
          <w:p>
            <w:pPr>
              <w:pStyle w:val="12"/>
            </w:pPr>
            <w:r>
              <w:t>大气污染治理服务</w:t>
            </w:r>
          </w:p>
        </w:tc>
        <w:tc>
          <w:tcPr>
            <w:tcW w:w="1134" w:type="dxa"/>
            <w:vAlign w:val="center"/>
          </w:tcPr>
          <w:p>
            <w:pPr>
              <w:pStyle w:val="12"/>
            </w:pPr>
            <w:r>
              <w:t>C07020201</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450.00</w:t>
            </w:r>
          </w:p>
        </w:tc>
        <w:tc>
          <w:tcPr>
            <w:tcW w:w="964" w:type="dxa"/>
            <w:vAlign w:val="center"/>
          </w:tcPr>
          <w:p>
            <w:pPr>
              <w:pStyle w:val="11"/>
            </w:pPr>
            <w:r>
              <w:t>450.00</w:t>
            </w:r>
          </w:p>
        </w:tc>
        <w:tc>
          <w:tcPr>
            <w:tcW w:w="964" w:type="dxa"/>
            <w:vAlign w:val="center"/>
          </w:tcPr>
          <w:p>
            <w:pPr>
              <w:pStyle w:val="11"/>
            </w:pPr>
            <w:r>
              <w:t>450.00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秦皇岛市海港区生态保护服务中心本级上年末固定资产金额为149.24万元（详见下表）。本年度拟购置固定资产总额为0.00万元，已按要求列入政府采购预算，详见政府采购预算表。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978001秦皇岛市海港区生态保护服务中心本级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149.24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w:t>
            </w:r>
          </w:p>
        </w:tc>
        <w:tc>
          <w:tcPr>
            <w:tcW w:w="2835" w:type="dxa"/>
            <w:vAlign w:val="center"/>
          </w:tcPr>
          <w:p>
            <w:pPr>
              <w:pStyle w:val="11"/>
            </w:pPr>
            <w:r>
              <w:t>124.45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F57F6"/>
    <w:rsid w:val="13DA56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2025-04-03T12:25:00Z</dcterms:created>
  <dc:creator>Administrator</dc:creator>
  <cp:lastModifiedBy>Administrator</cp:lastModifiedBy>
  <dcterms:modified xsi:type="dcterms:W3CDTF">2025-04-07T07:20:59Z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03323CDCA2C245538D32B3E619C9996A</vt:lpwstr>
  </property>
</Properties>
</file>