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一、秦皇岛火车站广场服务中心本级收支预算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一、秦皇岛火车站广场服务中心本级收支预算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1390.25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25.94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1328.89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1390.25</w:t>
            </w:r>
          </w:p>
        </w:tc>
        <w:tc>
          <w:tcPr>
            <w:tcW w:w="4535" w:type="dxa"/>
            <w:vAlign w:val="center"/>
          </w:tcPr>
          <w:p>
            <w:pPr>
              <w:pStyle w:val="14"/>
            </w:pPr>
            <w:r>
              <w:t>本年支出合计</w:t>
            </w:r>
          </w:p>
        </w:tc>
        <w:tc>
          <w:tcPr>
            <w:tcW w:w="2126" w:type="dxa"/>
            <w:vAlign w:val="center"/>
          </w:tcPr>
          <w:p>
            <w:pPr>
              <w:pStyle w:val="15"/>
            </w:pPr>
            <w:r>
              <w:t>1390.25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1390.25</w:t>
            </w:r>
          </w:p>
        </w:tc>
        <w:tc>
          <w:tcPr>
            <w:tcW w:w="4535" w:type="dxa"/>
            <w:vAlign w:val="center"/>
          </w:tcPr>
          <w:p>
            <w:pPr>
              <w:pStyle w:val="14"/>
            </w:pPr>
            <w:r>
              <w:t>支出总计</w:t>
            </w:r>
          </w:p>
        </w:tc>
        <w:tc>
          <w:tcPr>
            <w:tcW w:w="2126" w:type="dxa"/>
            <w:vAlign w:val="center"/>
          </w:tcPr>
          <w:p>
            <w:pPr>
              <w:pStyle w:val="15"/>
            </w:pPr>
            <w:r>
              <w:t>1390.25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1390.25</w:t>
            </w:r>
          </w:p>
        </w:tc>
        <w:tc>
          <w:tcPr>
            <w:tcW w:w="1134" w:type="dxa"/>
            <w:vAlign w:val="center"/>
          </w:tcPr>
          <w:p>
            <w:pPr>
              <w:pStyle w:val="15"/>
            </w:pPr>
            <w:r>
              <w:t>1390.25</w:t>
            </w:r>
          </w:p>
        </w:tc>
        <w:tc>
          <w:tcPr>
            <w:tcW w:w="1134" w:type="dxa"/>
            <w:vAlign w:val="center"/>
          </w:tcPr>
          <w:p>
            <w:pPr>
              <w:pStyle w:val="15"/>
            </w:pPr>
            <w:r>
              <w:t>1390.25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25.94</w:t>
            </w:r>
          </w:p>
        </w:tc>
        <w:tc>
          <w:tcPr>
            <w:tcW w:w="1134" w:type="dxa"/>
            <w:vAlign w:val="center"/>
          </w:tcPr>
          <w:p>
            <w:pPr>
              <w:pStyle w:val="11"/>
            </w:pPr>
            <w:r>
              <w:t>25.94</w:t>
            </w:r>
          </w:p>
        </w:tc>
        <w:tc>
          <w:tcPr>
            <w:tcW w:w="1134" w:type="dxa"/>
            <w:vAlign w:val="center"/>
          </w:tcPr>
          <w:p>
            <w:pPr>
              <w:pStyle w:val="11"/>
            </w:pPr>
            <w:r>
              <w:t>25.94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25.94</w:t>
            </w:r>
          </w:p>
        </w:tc>
        <w:tc>
          <w:tcPr>
            <w:tcW w:w="1134" w:type="dxa"/>
            <w:vAlign w:val="center"/>
          </w:tcPr>
          <w:p>
            <w:pPr>
              <w:pStyle w:val="11"/>
            </w:pPr>
            <w:r>
              <w:t>25.94</w:t>
            </w:r>
          </w:p>
        </w:tc>
        <w:tc>
          <w:tcPr>
            <w:tcW w:w="1134" w:type="dxa"/>
            <w:vAlign w:val="center"/>
          </w:tcPr>
          <w:p>
            <w:pPr>
              <w:pStyle w:val="11"/>
            </w:pPr>
            <w:r>
              <w:t>25.94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25.94</w:t>
            </w:r>
          </w:p>
        </w:tc>
        <w:tc>
          <w:tcPr>
            <w:tcW w:w="1134" w:type="dxa"/>
            <w:vAlign w:val="center"/>
          </w:tcPr>
          <w:p>
            <w:pPr>
              <w:pStyle w:val="11"/>
            </w:pPr>
            <w:r>
              <w:t>25.94</w:t>
            </w:r>
          </w:p>
        </w:tc>
        <w:tc>
          <w:tcPr>
            <w:tcW w:w="1134" w:type="dxa"/>
            <w:vAlign w:val="center"/>
          </w:tcPr>
          <w:p>
            <w:pPr>
              <w:pStyle w:val="11"/>
            </w:pPr>
            <w:r>
              <w:t>25.94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15.29</w:t>
            </w:r>
          </w:p>
        </w:tc>
        <w:tc>
          <w:tcPr>
            <w:tcW w:w="1134" w:type="dxa"/>
            <w:vAlign w:val="center"/>
          </w:tcPr>
          <w:p>
            <w:pPr>
              <w:pStyle w:val="11"/>
            </w:pPr>
            <w:r>
              <w:t>15.29</w:t>
            </w:r>
          </w:p>
        </w:tc>
        <w:tc>
          <w:tcPr>
            <w:tcW w:w="1134" w:type="dxa"/>
            <w:vAlign w:val="center"/>
          </w:tcPr>
          <w:p>
            <w:pPr>
              <w:pStyle w:val="11"/>
            </w:pPr>
            <w:r>
              <w:t>15.29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15.29</w:t>
            </w:r>
          </w:p>
        </w:tc>
        <w:tc>
          <w:tcPr>
            <w:tcW w:w="1134" w:type="dxa"/>
            <w:vAlign w:val="center"/>
          </w:tcPr>
          <w:p>
            <w:pPr>
              <w:pStyle w:val="11"/>
            </w:pPr>
            <w:r>
              <w:t>15.29</w:t>
            </w:r>
          </w:p>
        </w:tc>
        <w:tc>
          <w:tcPr>
            <w:tcW w:w="1134" w:type="dxa"/>
            <w:vAlign w:val="center"/>
          </w:tcPr>
          <w:p>
            <w:pPr>
              <w:pStyle w:val="11"/>
            </w:pPr>
            <w:r>
              <w:t>15.29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1328.89</w:t>
            </w:r>
          </w:p>
        </w:tc>
        <w:tc>
          <w:tcPr>
            <w:tcW w:w="1134" w:type="dxa"/>
            <w:vAlign w:val="center"/>
          </w:tcPr>
          <w:p>
            <w:pPr>
              <w:pStyle w:val="11"/>
            </w:pPr>
            <w:r>
              <w:t>1328.89</w:t>
            </w:r>
          </w:p>
        </w:tc>
        <w:tc>
          <w:tcPr>
            <w:tcW w:w="1134" w:type="dxa"/>
            <w:vAlign w:val="center"/>
          </w:tcPr>
          <w:p>
            <w:pPr>
              <w:pStyle w:val="11"/>
            </w:pPr>
            <w:r>
              <w:t>1328.89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1328.89</w:t>
            </w:r>
          </w:p>
        </w:tc>
        <w:tc>
          <w:tcPr>
            <w:tcW w:w="1134" w:type="dxa"/>
            <w:vAlign w:val="center"/>
          </w:tcPr>
          <w:p>
            <w:pPr>
              <w:pStyle w:val="11"/>
            </w:pPr>
            <w:r>
              <w:t>1328.89</w:t>
            </w:r>
          </w:p>
        </w:tc>
        <w:tc>
          <w:tcPr>
            <w:tcW w:w="1134" w:type="dxa"/>
            <w:vAlign w:val="center"/>
          </w:tcPr>
          <w:p>
            <w:pPr>
              <w:pStyle w:val="11"/>
            </w:pPr>
            <w:r>
              <w:t>1328.89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1328.89</w:t>
            </w:r>
          </w:p>
        </w:tc>
        <w:tc>
          <w:tcPr>
            <w:tcW w:w="1134" w:type="dxa"/>
            <w:vAlign w:val="center"/>
          </w:tcPr>
          <w:p>
            <w:pPr>
              <w:pStyle w:val="11"/>
            </w:pPr>
            <w:r>
              <w:t>1328.89</w:t>
            </w:r>
          </w:p>
        </w:tc>
        <w:tc>
          <w:tcPr>
            <w:tcW w:w="1134" w:type="dxa"/>
            <w:vAlign w:val="center"/>
          </w:tcPr>
          <w:p>
            <w:pPr>
              <w:pStyle w:val="11"/>
            </w:pPr>
            <w:r>
              <w:t>1328.89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20.13</w:t>
            </w:r>
          </w:p>
        </w:tc>
        <w:tc>
          <w:tcPr>
            <w:tcW w:w="1134" w:type="dxa"/>
            <w:vAlign w:val="center"/>
          </w:tcPr>
          <w:p>
            <w:pPr>
              <w:pStyle w:val="11"/>
            </w:pPr>
            <w:r>
              <w:t>20.13</w:t>
            </w:r>
          </w:p>
        </w:tc>
        <w:tc>
          <w:tcPr>
            <w:tcW w:w="1134" w:type="dxa"/>
            <w:vAlign w:val="center"/>
          </w:tcPr>
          <w:p>
            <w:pPr>
              <w:pStyle w:val="11"/>
            </w:pPr>
            <w:r>
              <w:t>20.13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20.13</w:t>
            </w:r>
          </w:p>
        </w:tc>
        <w:tc>
          <w:tcPr>
            <w:tcW w:w="1134" w:type="dxa"/>
            <w:vAlign w:val="center"/>
          </w:tcPr>
          <w:p>
            <w:pPr>
              <w:pStyle w:val="11"/>
            </w:pPr>
            <w:r>
              <w:t>20.13</w:t>
            </w:r>
          </w:p>
        </w:tc>
        <w:tc>
          <w:tcPr>
            <w:tcW w:w="1134" w:type="dxa"/>
            <w:vAlign w:val="center"/>
          </w:tcPr>
          <w:p>
            <w:pPr>
              <w:pStyle w:val="11"/>
            </w:pPr>
            <w:r>
              <w:t>20.13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20.13</w:t>
            </w:r>
          </w:p>
        </w:tc>
        <w:tc>
          <w:tcPr>
            <w:tcW w:w="1134" w:type="dxa"/>
            <w:vAlign w:val="center"/>
          </w:tcPr>
          <w:p>
            <w:pPr>
              <w:pStyle w:val="11"/>
            </w:pPr>
            <w:r>
              <w:t>20.13</w:t>
            </w:r>
          </w:p>
        </w:tc>
        <w:tc>
          <w:tcPr>
            <w:tcW w:w="1134" w:type="dxa"/>
            <w:vAlign w:val="center"/>
          </w:tcPr>
          <w:p>
            <w:pPr>
              <w:pStyle w:val="11"/>
            </w:pPr>
            <w:r>
              <w:t>20.13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1390.25</w:t>
            </w:r>
          </w:p>
        </w:tc>
        <w:tc>
          <w:tcPr>
            <w:tcW w:w="1361" w:type="dxa"/>
            <w:vAlign w:val="center"/>
          </w:tcPr>
          <w:p>
            <w:pPr>
              <w:pStyle w:val="15"/>
            </w:pPr>
            <w:r>
              <w:t>311.25</w:t>
            </w:r>
          </w:p>
        </w:tc>
        <w:tc>
          <w:tcPr>
            <w:tcW w:w="1361" w:type="dxa"/>
            <w:vAlign w:val="center"/>
          </w:tcPr>
          <w:p>
            <w:pPr>
              <w:pStyle w:val="15"/>
            </w:pPr>
            <w:r>
              <w:t>1079.00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25.94</w:t>
            </w:r>
          </w:p>
        </w:tc>
        <w:tc>
          <w:tcPr>
            <w:tcW w:w="1361" w:type="dxa"/>
            <w:vAlign w:val="center"/>
          </w:tcPr>
          <w:p>
            <w:pPr>
              <w:pStyle w:val="11"/>
            </w:pPr>
            <w:r>
              <w:t>25.94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25.94</w:t>
            </w:r>
          </w:p>
        </w:tc>
        <w:tc>
          <w:tcPr>
            <w:tcW w:w="1361" w:type="dxa"/>
            <w:vAlign w:val="center"/>
          </w:tcPr>
          <w:p>
            <w:pPr>
              <w:pStyle w:val="11"/>
            </w:pPr>
            <w:r>
              <w:t>25.94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25.94</w:t>
            </w:r>
          </w:p>
        </w:tc>
        <w:tc>
          <w:tcPr>
            <w:tcW w:w="1361" w:type="dxa"/>
            <w:vAlign w:val="center"/>
          </w:tcPr>
          <w:p>
            <w:pPr>
              <w:pStyle w:val="11"/>
            </w:pPr>
            <w:r>
              <w:t>25.94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15.29</w:t>
            </w:r>
          </w:p>
        </w:tc>
        <w:tc>
          <w:tcPr>
            <w:tcW w:w="1361" w:type="dxa"/>
            <w:vAlign w:val="center"/>
          </w:tcPr>
          <w:p>
            <w:pPr>
              <w:pStyle w:val="11"/>
            </w:pPr>
            <w:r>
              <w:t>15.29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15.29</w:t>
            </w:r>
          </w:p>
        </w:tc>
        <w:tc>
          <w:tcPr>
            <w:tcW w:w="1361" w:type="dxa"/>
            <w:vAlign w:val="center"/>
          </w:tcPr>
          <w:p>
            <w:pPr>
              <w:pStyle w:val="11"/>
            </w:pPr>
            <w:r>
              <w:t>15.29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8.78</w:t>
            </w:r>
          </w:p>
        </w:tc>
        <w:tc>
          <w:tcPr>
            <w:tcW w:w="1361" w:type="dxa"/>
            <w:vAlign w:val="center"/>
          </w:tcPr>
          <w:p>
            <w:pPr>
              <w:pStyle w:val="11"/>
            </w:pPr>
            <w:r>
              <w:t>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6.51</w:t>
            </w:r>
          </w:p>
        </w:tc>
        <w:tc>
          <w:tcPr>
            <w:tcW w:w="1361" w:type="dxa"/>
            <w:vAlign w:val="center"/>
          </w:tcPr>
          <w:p>
            <w:pPr>
              <w:pStyle w:val="11"/>
            </w:pPr>
            <w:r>
              <w:t>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1328.89</w:t>
            </w:r>
          </w:p>
        </w:tc>
        <w:tc>
          <w:tcPr>
            <w:tcW w:w="1361" w:type="dxa"/>
            <w:vAlign w:val="center"/>
          </w:tcPr>
          <w:p>
            <w:pPr>
              <w:pStyle w:val="11"/>
            </w:pPr>
            <w:r>
              <w:t>249.89</w:t>
            </w:r>
          </w:p>
        </w:tc>
        <w:tc>
          <w:tcPr>
            <w:tcW w:w="1361" w:type="dxa"/>
            <w:vAlign w:val="center"/>
          </w:tcPr>
          <w:p>
            <w:pPr>
              <w:pStyle w:val="11"/>
            </w:pPr>
            <w:r>
              <w:t>1079.00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1328.89</w:t>
            </w:r>
          </w:p>
        </w:tc>
        <w:tc>
          <w:tcPr>
            <w:tcW w:w="1361" w:type="dxa"/>
            <w:vAlign w:val="center"/>
          </w:tcPr>
          <w:p>
            <w:pPr>
              <w:pStyle w:val="11"/>
            </w:pPr>
            <w:r>
              <w:t>249.89</w:t>
            </w:r>
          </w:p>
        </w:tc>
        <w:tc>
          <w:tcPr>
            <w:tcW w:w="1361" w:type="dxa"/>
            <w:vAlign w:val="center"/>
          </w:tcPr>
          <w:p>
            <w:pPr>
              <w:pStyle w:val="11"/>
            </w:pPr>
            <w:r>
              <w:t>1079.00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1328.89</w:t>
            </w:r>
          </w:p>
        </w:tc>
        <w:tc>
          <w:tcPr>
            <w:tcW w:w="1361" w:type="dxa"/>
            <w:vAlign w:val="center"/>
          </w:tcPr>
          <w:p>
            <w:pPr>
              <w:pStyle w:val="11"/>
            </w:pPr>
            <w:r>
              <w:t>249.89</w:t>
            </w:r>
          </w:p>
        </w:tc>
        <w:tc>
          <w:tcPr>
            <w:tcW w:w="1361" w:type="dxa"/>
            <w:vAlign w:val="center"/>
          </w:tcPr>
          <w:p>
            <w:pPr>
              <w:pStyle w:val="11"/>
            </w:pPr>
            <w:r>
              <w:t>1079.00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20.13</w:t>
            </w:r>
          </w:p>
        </w:tc>
        <w:tc>
          <w:tcPr>
            <w:tcW w:w="1361" w:type="dxa"/>
            <w:vAlign w:val="center"/>
          </w:tcPr>
          <w:p>
            <w:pPr>
              <w:pStyle w:val="11"/>
            </w:pPr>
            <w:r>
              <w:t>20.13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20.13</w:t>
            </w:r>
          </w:p>
        </w:tc>
        <w:tc>
          <w:tcPr>
            <w:tcW w:w="1361" w:type="dxa"/>
            <w:vAlign w:val="center"/>
          </w:tcPr>
          <w:p>
            <w:pPr>
              <w:pStyle w:val="11"/>
            </w:pPr>
            <w:r>
              <w:t>20.13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20.13</w:t>
            </w:r>
          </w:p>
        </w:tc>
        <w:tc>
          <w:tcPr>
            <w:tcW w:w="1361" w:type="dxa"/>
            <w:vAlign w:val="center"/>
          </w:tcPr>
          <w:p>
            <w:pPr>
              <w:pStyle w:val="11"/>
            </w:pPr>
            <w:r>
              <w:t>20.13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1390.25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25.94</w:t>
            </w:r>
          </w:p>
        </w:tc>
        <w:tc>
          <w:tcPr>
            <w:tcW w:w="1474" w:type="dxa"/>
            <w:vAlign w:val="center"/>
          </w:tcPr>
          <w:p>
            <w:pPr>
              <w:pStyle w:val="11"/>
            </w:pPr>
            <w:r>
              <w:t>25.94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15.29</w:t>
            </w:r>
          </w:p>
        </w:tc>
        <w:tc>
          <w:tcPr>
            <w:tcW w:w="1474" w:type="dxa"/>
            <w:vAlign w:val="center"/>
          </w:tcPr>
          <w:p>
            <w:pPr>
              <w:pStyle w:val="11"/>
            </w:pPr>
            <w:r>
              <w:t>15.29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1328.89</w:t>
            </w:r>
          </w:p>
        </w:tc>
        <w:tc>
          <w:tcPr>
            <w:tcW w:w="1474" w:type="dxa"/>
            <w:vAlign w:val="center"/>
          </w:tcPr>
          <w:p>
            <w:pPr>
              <w:pStyle w:val="11"/>
            </w:pPr>
            <w:r>
              <w:t>1328.89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20.13</w:t>
            </w:r>
          </w:p>
        </w:tc>
        <w:tc>
          <w:tcPr>
            <w:tcW w:w="1474" w:type="dxa"/>
            <w:vAlign w:val="center"/>
          </w:tcPr>
          <w:p>
            <w:pPr>
              <w:pStyle w:val="11"/>
            </w:pPr>
            <w:r>
              <w:t>20.13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1390.25</w:t>
            </w:r>
          </w:p>
        </w:tc>
        <w:tc>
          <w:tcPr>
            <w:tcW w:w="3402" w:type="dxa"/>
            <w:vAlign w:val="center"/>
          </w:tcPr>
          <w:p>
            <w:pPr>
              <w:pStyle w:val="14"/>
            </w:pPr>
            <w:r>
              <w:t>本年支出合计</w:t>
            </w:r>
          </w:p>
        </w:tc>
        <w:tc>
          <w:tcPr>
            <w:tcW w:w="1474" w:type="dxa"/>
            <w:vAlign w:val="center"/>
          </w:tcPr>
          <w:p>
            <w:pPr>
              <w:pStyle w:val="15"/>
            </w:pPr>
            <w:r>
              <w:t>1390.25</w:t>
            </w:r>
          </w:p>
        </w:tc>
        <w:tc>
          <w:tcPr>
            <w:tcW w:w="1474" w:type="dxa"/>
            <w:vAlign w:val="center"/>
          </w:tcPr>
          <w:p>
            <w:pPr>
              <w:pStyle w:val="15"/>
            </w:pPr>
            <w:r>
              <w:t>1390.25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1390.25</w:t>
            </w:r>
          </w:p>
        </w:tc>
        <w:tc>
          <w:tcPr>
            <w:tcW w:w="3402" w:type="dxa"/>
            <w:vAlign w:val="center"/>
          </w:tcPr>
          <w:p>
            <w:pPr>
              <w:pStyle w:val="14"/>
            </w:pPr>
            <w:r>
              <w:t>支出总计</w:t>
            </w:r>
          </w:p>
        </w:tc>
        <w:tc>
          <w:tcPr>
            <w:tcW w:w="1474" w:type="dxa"/>
            <w:vAlign w:val="center"/>
          </w:tcPr>
          <w:p>
            <w:pPr>
              <w:pStyle w:val="15"/>
            </w:pPr>
            <w:r>
              <w:t>1390.25</w:t>
            </w:r>
          </w:p>
        </w:tc>
        <w:tc>
          <w:tcPr>
            <w:tcW w:w="1474" w:type="dxa"/>
            <w:vAlign w:val="center"/>
          </w:tcPr>
          <w:p>
            <w:pPr>
              <w:pStyle w:val="15"/>
            </w:pPr>
            <w:r>
              <w:t>1390.25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1390.25</w:t>
            </w:r>
          </w:p>
        </w:tc>
        <w:tc>
          <w:tcPr>
            <w:tcW w:w="2551" w:type="dxa"/>
            <w:vAlign w:val="center"/>
          </w:tcPr>
          <w:p>
            <w:pPr>
              <w:pStyle w:val="15"/>
            </w:pPr>
            <w:r>
              <w:t>311.25</w:t>
            </w:r>
          </w:p>
        </w:tc>
        <w:tc>
          <w:tcPr>
            <w:tcW w:w="2551" w:type="dxa"/>
            <w:vAlign w:val="center"/>
          </w:tcPr>
          <w:p>
            <w:pPr>
              <w:pStyle w:val="15"/>
            </w:pPr>
            <w:r>
              <w:t>1079.00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25.94</w:t>
            </w:r>
          </w:p>
        </w:tc>
        <w:tc>
          <w:tcPr>
            <w:tcW w:w="2551" w:type="dxa"/>
            <w:vAlign w:val="center"/>
          </w:tcPr>
          <w:p>
            <w:pPr>
              <w:pStyle w:val="11"/>
            </w:pPr>
            <w:r>
              <w:t>25.94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25.94</w:t>
            </w:r>
          </w:p>
        </w:tc>
        <w:tc>
          <w:tcPr>
            <w:tcW w:w="2551" w:type="dxa"/>
            <w:vAlign w:val="center"/>
          </w:tcPr>
          <w:p>
            <w:pPr>
              <w:pStyle w:val="11"/>
            </w:pPr>
            <w:r>
              <w:t>25.94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25.94</w:t>
            </w:r>
          </w:p>
        </w:tc>
        <w:tc>
          <w:tcPr>
            <w:tcW w:w="2551" w:type="dxa"/>
            <w:vAlign w:val="center"/>
          </w:tcPr>
          <w:p>
            <w:pPr>
              <w:pStyle w:val="11"/>
            </w:pPr>
            <w:r>
              <w:t>25.94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15.29</w:t>
            </w:r>
          </w:p>
        </w:tc>
        <w:tc>
          <w:tcPr>
            <w:tcW w:w="2551" w:type="dxa"/>
            <w:vAlign w:val="center"/>
          </w:tcPr>
          <w:p>
            <w:pPr>
              <w:pStyle w:val="11"/>
            </w:pPr>
            <w:r>
              <w:t>15.29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15.29</w:t>
            </w:r>
          </w:p>
        </w:tc>
        <w:tc>
          <w:tcPr>
            <w:tcW w:w="2551" w:type="dxa"/>
            <w:vAlign w:val="center"/>
          </w:tcPr>
          <w:p>
            <w:pPr>
              <w:pStyle w:val="11"/>
            </w:pPr>
            <w:r>
              <w:t>15.29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8.78</w:t>
            </w:r>
          </w:p>
        </w:tc>
        <w:tc>
          <w:tcPr>
            <w:tcW w:w="2551" w:type="dxa"/>
            <w:vAlign w:val="center"/>
          </w:tcPr>
          <w:p>
            <w:pPr>
              <w:pStyle w:val="11"/>
            </w:pPr>
            <w:r>
              <w:t>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6.51</w:t>
            </w:r>
          </w:p>
        </w:tc>
        <w:tc>
          <w:tcPr>
            <w:tcW w:w="2551" w:type="dxa"/>
            <w:vAlign w:val="center"/>
          </w:tcPr>
          <w:p>
            <w:pPr>
              <w:pStyle w:val="11"/>
            </w:pPr>
            <w:r>
              <w:t>6.51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1328.89</w:t>
            </w:r>
          </w:p>
        </w:tc>
        <w:tc>
          <w:tcPr>
            <w:tcW w:w="2551" w:type="dxa"/>
            <w:vAlign w:val="center"/>
          </w:tcPr>
          <w:p>
            <w:pPr>
              <w:pStyle w:val="11"/>
            </w:pPr>
            <w:r>
              <w:t>249.89</w:t>
            </w:r>
          </w:p>
        </w:tc>
        <w:tc>
          <w:tcPr>
            <w:tcW w:w="2551" w:type="dxa"/>
            <w:vAlign w:val="center"/>
          </w:tcPr>
          <w:p>
            <w:pPr>
              <w:pStyle w:val="11"/>
            </w:pPr>
            <w:r>
              <w:t>1079.00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1328.89</w:t>
            </w:r>
          </w:p>
        </w:tc>
        <w:tc>
          <w:tcPr>
            <w:tcW w:w="2551" w:type="dxa"/>
            <w:vAlign w:val="center"/>
          </w:tcPr>
          <w:p>
            <w:pPr>
              <w:pStyle w:val="11"/>
            </w:pPr>
            <w:r>
              <w:t>249.89</w:t>
            </w:r>
          </w:p>
        </w:tc>
        <w:tc>
          <w:tcPr>
            <w:tcW w:w="2551" w:type="dxa"/>
            <w:vAlign w:val="center"/>
          </w:tcPr>
          <w:p>
            <w:pPr>
              <w:pStyle w:val="11"/>
            </w:pPr>
            <w:r>
              <w:t>1079.00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1328.89</w:t>
            </w:r>
          </w:p>
        </w:tc>
        <w:tc>
          <w:tcPr>
            <w:tcW w:w="2551" w:type="dxa"/>
            <w:vAlign w:val="center"/>
          </w:tcPr>
          <w:p>
            <w:pPr>
              <w:pStyle w:val="11"/>
            </w:pPr>
            <w:r>
              <w:t>249.89</w:t>
            </w:r>
          </w:p>
        </w:tc>
        <w:tc>
          <w:tcPr>
            <w:tcW w:w="2551" w:type="dxa"/>
            <w:vAlign w:val="center"/>
          </w:tcPr>
          <w:p>
            <w:pPr>
              <w:pStyle w:val="11"/>
            </w:pPr>
            <w:r>
              <w:t>1079.00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20.13</w:t>
            </w:r>
          </w:p>
        </w:tc>
        <w:tc>
          <w:tcPr>
            <w:tcW w:w="2551" w:type="dxa"/>
            <w:vAlign w:val="center"/>
          </w:tcPr>
          <w:p>
            <w:pPr>
              <w:pStyle w:val="11"/>
            </w:pPr>
            <w:r>
              <w:t>20.13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20.13</w:t>
            </w:r>
          </w:p>
        </w:tc>
        <w:tc>
          <w:tcPr>
            <w:tcW w:w="2551" w:type="dxa"/>
            <w:vAlign w:val="center"/>
          </w:tcPr>
          <w:p>
            <w:pPr>
              <w:pStyle w:val="11"/>
            </w:pPr>
            <w:r>
              <w:t>20.13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20.13</w:t>
            </w:r>
          </w:p>
        </w:tc>
        <w:tc>
          <w:tcPr>
            <w:tcW w:w="2551" w:type="dxa"/>
            <w:vAlign w:val="center"/>
          </w:tcPr>
          <w:p>
            <w:pPr>
              <w:pStyle w:val="11"/>
            </w:pPr>
            <w:r>
              <w:t>20.13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311.25</w:t>
            </w:r>
          </w:p>
        </w:tc>
        <w:tc>
          <w:tcPr>
            <w:tcW w:w="2551" w:type="dxa"/>
            <w:vAlign w:val="center"/>
          </w:tcPr>
          <w:p>
            <w:pPr>
              <w:pStyle w:val="15"/>
            </w:pPr>
            <w:r>
              <w:t>253.68</w:t>
            </w:r>
          </w:p>
        </w:tc>
        <w:tc>
          <w:tcPr>
            <w:tcW w:w="2551" w:type="dxa"/>
            <w:vAlign w:val="center"/>
          </w:tcPr>
          <w:p>
            <w:pPr>
              <w:pStyle w:val="15"/>
            </w:pPr>
            <w:r>
              <w:t>57.57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253.68</w:t>
            </w:r>
          </w:p>
        </w:tc>
        <w:tc>
          <w:tcPr>
            <w:tcW w:w="2551" w:type="dxa"/>
            <w:vAlign w:val="center"/>
          </w:tcPr>
          <w:p>
            <w:pPr>
              <w:pStyle w:val="11"/>
            </w:pPr>
            <w:r>
              <w:t>253.68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70.93</w:t>
            </w:r>
          </w:p>
        </w:tc>
        <w:tc>
          <w:tcPr>
            <w:tcW w:w="2551" w:type="dxa"/>
            <w:vAlign w:val="center"/>
          </w:tcPr>
          <w:p>
            <w:pPr>
              <w:pStyle w:val="11"/>
            </w:pPr>
            <w:r>
              <w:t>70.93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105.65</w:t>
            </w:r>
          </w:p>
        </w:tc>
        <w:tc>
          <w:tcPr>
            <w:tcW w:w="2551" w:type="dxa"/>
            <w:vAlign w:val="center"/>
          </w:tcPr>
          <w:p>
            <w:pPr>
              <w:pStyle w:val="11"/>
            </w:pPr>
            <w:r>
              <w:t>105.65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25.94</w:t>
            </w:r>
          </w:p>
        </w:tc>
        <w:tc>
          <w:tcPr>
            <w:tcW w:w="2551" w:type="dxa"/>
            <w:vAlign w:val="center"/>
          </w:tcPr>
          <w:p>
            <w:pPr>
              <w:pStyle w:val="11"/>
            </w:pPr>
            <w:r>
              <w:t>25.94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8.78</w:t>
            </w:r>
          </w:p>
        </w:tc>
        <w:tc>
          <w:tcPr>
            <w:tcW w:w="2551" w:type="dxa"/>
            <w:vAlign w:val="center"/>
          </w:tcPr>
          <w:p>
            <w:pPr>
              <w:pStyle w:val="11"/>
            </w:pPr>
            <w:r>
              <w:t>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6.51</w:t>
            </w:r>
          </w:p>
        </w:tc>
        <w:tc>
          <w:tcPr>
            <w:tcW w:w="2551" w:type="dxa"/>
            <w:vAlign w:val="center"/>
          </w:tcPr>
          <w:p>
            <w:pPr>
              <w:pStyle w:val="11"/>
            </w:pPr>
            <w:r>
              <w:t>6.51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1.58</w:t>
            </w:r>
          </w:p>
        </w:tc>
        <w:tc>
          <w:tcPr>
            <w:tcW w:w="2551" w:type="dxa"/>
            <w:vAlign w:val="center"/>
          </w:tcPr>
          <w:p>
            <w:pPr>
              <w:pStyle w:val="11"/>
            </w:pPr>
            <w:r>
              <w:t>1.58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20.13</w:t>
            </w:r>
          </w:p>
        </w:tc>
        <w:tc>
          <w:tcPr>
            <w:tcW w:w="2551" w:type="dxa"/>
            <w:vAlign w:val="center"/>
          </w:tcPr>
          <w:p>
            <w:pPr>
              <w:pStyle w:val="11"/>
            </w:pPr>
            <w:r>
              <w:t>20.13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57.57</w:t>
            </w:r>
          </w:p>
        </w:tc>
        <w:tc>
          <w:tcPr>
            <w:tcW w:w="2551" w:type="dxa"/>
            <w:vAlign w:val="center"/>
          </w:tcPr>
          <w:p>
            <w:pPr>
              <w:pStyle w:val="11"/>
            </w:pPr>
          </w:p>
        </w:tc>
        <w:tc>
          <w:tcPr>
            <w:tcW w:w="2551" w:type="dxa"/>
            <w:vAlign w:val="center"/>
          </w:tcPr>
          <w:p>
            <w:pPr>
              <w:pStyle w:val="11"/>
            </w:pPr>
            <w:r>
              <w:t>57.57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3.40</w:t>
            </w:r>
          </w:p>
        </w:tc>
        <w:tc>
          <w:tcPr>
            <w:tcW w:w="2551" w:type="dxa"/>
            <w:vAlign w:val="center"/>
          </w:tcPr>
          <w:p>
            <w:pPr>
              <w:pStyle w:val="11"/>
            </w:pPr>
          </w:p>
        </w:tc>
        <w:tc>
          <w:tcPr>
            <w:tcW w:w="2551" w:type="dxa"/>
            <w:vAlign w:val="center"/>
          </w:tcPr>
          <w:p>
            <w:pPr>
              <w:pStyle w:val="11"/>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49.52</w:t>
            </w:r>
          </w:p>
        </w:tc>
        <w:tc>
          <w:tcPr>
            <w:tcW w:w="2551" w:type="dxa"/>
            <w:vAlign w:val="center"/>
          </w:tcPr>
          <w:p>
            <w:pPr>
              <w:pStyle w:val="11"/>
            </w:pPr>
          </w:p>
        </w:tc>
        <w:tc>
          <w:tcPr>
            <w:tcW w:w="2551" w:type="dxa"/>
            <w:vAlign w:val="center"/>
          </w:tcPr>
          <w:p>
            <w:pPr>
              <w:pStyle w:val="11"/>
            </w:pPr>
            <w:r>
              <w:t>49.52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0.07</w:t>
            </w:r>
          </w:p>
        </w:tc>
        <w:tc>
          <w:tcPr>
            <w:tcW w:w="2551" w:type="dxa"/>
            <w:vAlign w:val="center"/>
          </w:tcPr>
          <w:p>
            <w:pPr>
              <w:pStyle w:val="11"/>
            </w:pPr>
          </w:p>
        </w:tc>
        <w:tc>
          <w:tcPr>
            <w:tcW w:w="2551" w:type="dxa"/>
            <w:vAlign w:val="center"/>
          </w:tcPr>
          <w:p>
            <w:pPr>
              <w:pStyle w:val="11"/>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1.77</w:t>
            </w:r>
          </w:p>
        </w:tc>
        <w:tc>
          <w:tcPr>
            <w:tcW w:w="2551" w:type="dxa"/>
            <w:vAlign w:val="center"/>
          </w:tcPr>
          <w:p>
            <w:pPr>
              <w:pStyle w:val="11"/>
            </w:pPr>
          </w:p>
        </w:tc>
        <w:tc>
          <w:tcPr>
            <w:tcW w:w="2551" w:type="dxa"/>
            <w:vAlign w:val="center"/>
          </w:tcPr>
          <w:p>
            <w:pPr>
              <w:pStyle w:val="11"/>
            </w:pPr>
            <w:r>
              <w:t>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0.21</w:t>
            </w:r>
          </w:p>
        </w:tc>
        <w:tc>
          <w:tcPr>
            <w:tcW w:w="2551" w:type="dxa"/>
            <w:vAlign w:val="center"/>
          </w:tcPr>
          <w:p>
            <w:pPr>
              <w:pStyle w:val="11"/>
            </w:pPr>
          </w:p>
        </w:tc>
        <w:tc>
          <w:tcPr>
            <w:tcW w:w="2551" w:type="dxa"/>
            <w:vAlign w:val="center"/>
          </w:tcPr>
          <w:p>
            <w:pPr>
              <w:pStyle w:val="11"/>
            </w:pPr>
            <w:r>
              <w:t>0.21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0.07</w:t>
            </w:r>
          </w:p>
        </w:tc>
        <w:tc>
          <w:tcPr>
            <w:tcW w:w="2381" w:type="dxa"/>
            <w:vAlign w:val="center"/>
          </w:tcPr>
          <w:p>
            <w:pPr>
              <w:pStyle w:val="15"/>
            </w:pPr>
            <w:r>
              <w:t>0.07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0.07</w:t>
            </w:r>
          </w:p>
        </w:tc>
        <w:tc>
          <w:tcPr>
            <w:tcW w:w="2381" w:type="dxa"/>
            <w:vAlign w:val="center"/>
          </w:tcPr>
          <w:p>
            <w:pPr>
              <w:pStyle w:val="11"/>
            </w:pPr>
            <w:r>
              <w:t>0.07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0.07</w:t>
            </w:r>
          </w:p>
        </w:tc>
        <w:tc>
          <w:tcPr>
            <w:tcW w:w="2381" w:type="dxa"/>
            <w:vAlign w:val="center"/>
          </w:tcPr>
          <w:p>
            <w:pPr>
              <w:pStyle w:val="11"/>
            </w:pPr>
            <w:r>
              <w:t>0.07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秦皇岛火车站广场服务中心本级2025年单位预算信息公开情况说明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按照《中华人民共和国预算法》、《地方预决算公开操作规程》和《关于进一步推进预算公开工作的实施意见》规定，现将秦皇岛火车站广场服务中心本级2025年单位预算公开如下：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1、火车站广场范围内的人员及车辆疏导，停车场收费管理，保证车辆有序排放。</w:t>
      </w:r>
    </w:p>
    <w:p>
      <w:pPr>
        <w:pStyle w:val="17"/>
      </w:pPr>
      <w:r>
        <w:t>2、负责火车站广场范围内的环境卫生、清扫保洁、垃圾清运、建筑物外立面及护栏清洗、公厕保洁等工作。</w:t>
      </w:r>
    </w:p>
    <w:p>
      <w:pPr>
        <w:pStyle w:val="17"/>
      </w:pPr>
      <w:r>
        <w:t>3、火车站广场范围内的电力系统、给水、污水、消防、通风、空调、电梯等设施的维护检修管理等工作。</w:t>
      </w:r>
    </w:p>
    <w:p>
      <w:pPr>
        <w:pStyle w:val="17"/>
      </w:pPr>
      <w:r>
        <w:t>4、负责管理范围内承担铁路、公安、交通、城管等工作职能部门的组织协调，开展相关职能工作；负责区政府交办的其他工作。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秦皇岛火车站广场服务中心本级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1390.25万元，其中：一般公共预算收入1390.25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火车站广场服务中心本级年度单位预算中支出预算的总体情况。2025年支出预算1390.25万元，其中基本支出311.25万元，包括人员经费253.68万元和日常公用经费57.57万元；项目支出1079.00万元，主要为站前广场治安、志愿者等政府购买服务（RY）595万元，站前广场运转及维护经费450万元，暑期春运公安干警安保经费34万元。</w:t>
      </w:r>
    </w:p>
    <w:p>
      <w:pPr>
        <w:pStyle w:val="18"/>
      </w:pPr>
      <w:r>
        <w:t>3、比上年增减情况</w:t>
      </w:r>
    </w:p>
    <w:p>
      <w:pPr>
        <w:pStyle w:val="18"/>
      </w:pPr>
      <w:r>
        <w:t>2025年预算收支安排1390.25万元，较2024年预算减少197.46万元，其中：基本支出减少42.46万元，主要为人员经费减少41.11万元，日常公用经费减少1.35万元。项目支出减少155.00万元，主要为站前广场治安、志愿者等政府购买服务（RY）减少105万元，站前广场运转及维护经费减少50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2025年，我单位机关运行经费共计安排57.57万元，主要用于日常维修、办公用房水电费、办公用房取暖费、办公用房物业管理费等日常运行支出。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0.07万元，其中因公出国（境）费0.00万元；公务用车购置及运维费0.00万元（其中：公务用车购置费为0.00万元，公务用车运维费0.00万元)；公务接待费0.07万元。与2024年相比增加</w:t>
      </w:r>
      <w:r>
        <w:rPr>
          <w:rFonts w:hint="eastAsia"/>
          <w:lang w:eastAsia="zh-CN"/>
        </w:rPr>
        <w:t>减少</w:t>
      </w:r>
      <w:r>
        <w:t>0.0</w:t>
      </w:r>
      <w:r>
        <w:rPr>
          <w:rFonts w:hint="eastAsia"/>
          <w:lang w:val="en-US" w:eastAsia="zh-CN"/>
        </w:rPr>
        <w:t>8</w:t>
      </w:r>
      <w:r>
        <w:t>万元，增减变化的主要原因是2025年公务接待费预算</w:t>
      </w:r>
      <w:r>
        <w:rPr>
          <w:rFonts w:hint="eastAsia"/>
          <w:lang w:eastAsia="zh-CN"/>
        </w:rPr>
        <w:t>减少</w:t>
      </w:r>
      <w:r>
        <w:t>0.0</w:t>
      </w:r>
      <w:r>
        <w:rPr>
          <w:rFonts w:hint="eastAsia"/>
          <w:lang w:val="en-US" w:eastAsia="zh-CN"/>
        </w:rPr>
        <w:t>8</w:t>
      </w:r>
      <w:r>
        <w:t>万元。</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1、暑期春运公安干警安保经费绩效目标表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13030225P00016110015F</w:t>
            </w:r>
          </w:p>
        </w:tc>
        <w:tc>
          <w:tcPr>
            <w:tcW w:w="2835" w:type="dxa"/>
            <w:vAlign w:val="center"/>
          </w:tcPr>
          <w:p>
            <w:pPr>
              <w:pStyle w:val="10"/>
            </w:pPr>
            <w:r>
              <w:t>项目名称</w:t>
            </w:r>
          </w:p>
        </w:tc>
        <w:tc>
          <w:tcPr>
            <w:tcW w:w="6095" w:type="dxa"/>
            <w:gridSpan w:val="3"/>
            <w:vAlign w:val="center"/>
          </w:tcPr>
          <w:p>
            <w:pPr>
              <w:pStyle w:val="12"/>
            </w:pPr>
            <w:r>
              <w:t>暑期春运公安干警安保经费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w:t>
            </w:r>
          </w:p>
        </w:tc>
        <w:tc>
          <w:tcPr>
            <w:tcW w:w="2835" w:type="dxa"/>
            <w:vAlign w:val="center"/>
          </w:tcPr>
          <w:p>
            <w:pPr>
              <w:pStyle w:val="10"/>
            </w:pPr>
            <w:r>
              <w:t>其中：财政    资金</w:t>
            </w:r>
          </w:p>
        </w:tc>
        <w:tc>
          <w:tcPr>
            <w:tcW w:w="2551" w:type="dxa"/>
            <w:vAlign w:val="center"/>
          </w:tcPr>
          <w:p>
            <w:pPr>
              <w:pStyle w:val="12"/>
            </w:pPr>
            <w:r>
              <w:t>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维护火车站广场秩序，保障进出站旅客安全，为执勤人员提供后勤保障。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1.为武警官兵、巡特警、公安干警提供食宿等后勤保障。</w:t>
            </w:r>
          </w:p>
          <w:p>
            <w:pPr>
              <w:pStyle w:val="12"/>
            </w:pPr>
            <w:r>
              <w:t>2.为旅客出行提供良好的治安环境。</w:t>
            </w:r>
          </w:p>
          <w:p>
            <w:pPr>
              <w:pStyle w:val="12"/>
            </w:pPr>
            <w:r>
              <w:t>3.配置60名执勤安保人员进行常态化巡防，维护火车站广场秩序，确保进出站旅客安全。</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执勤安保人员数量</w:t>
            </w:r>
          </w:p>
        </w:tc>
        <w:tc>
          <w:tcPr>
            <w:tcW w:w="5386" w:type="dxa"/>
            <w:vAlign w:val="center"/>
          </w:tcPr>
          <w:p>
            <w:pPr>
              <w:pStyle w:val="12"/>
            </w:pPr>
            <w:r>
              <w:t>火车站广场执勤安保人员常态化数量</w:t>
            </w:r>
          </w:p>
          <w:p>
            <w:pPr>
              <w:pStyle w:val="12"/>
            </w:pPr>
          </w:p>
        </w:tc>
        <w:tc>
          <w:tcPr>
            <w:tcW w:w="2268" w:type="dxa"/>
            <w:vAlign w:val="center"/>
          </w:tcPr>
          <w:p>
            <w:pPr>
              <w:pStyle w:val="12"/>
            </w:pPr>
            <w:r>
              <w:t>≥60人</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对整个火车站广场，巡查警力覆盖率</w:t>
            </w:r>
          </w:p>
          <w:p>
            <w:pPr>
              <w:pStyle w:val="12"/>
            </w:pPr>
          </w:p>
        </w:tc>
        <w:tc>
          <w:tcPr>
            <w:tcW w:w="5386" w:type="dxa"/>
            <w:vAlign w:val="center"/>
          </w:tcPr>
          <w:p>
            <w:pPr>
              <w:pStyle w:val="12"/>
            </w:pPr>
            <w:r>
              <w:t>对整个火车站广场，巡查警力覆盖率</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安保经费发放准确率</w:t>
            </w:r>
          </w:p>
          <w:p>
            <w:pPr>
              <w:pStyle w:val="12"/>
            </w:pPr>
          </w:p>
        </w:tc>
        <w:tc>
          <w:tcPr>
            <w:tcW w:w="5386" w:type="dxa"/>
            <w:vAlign w:val="center"/>
          </w:tcPr>
          <w:p>
            <w:pPr>
              <w:pStyle w:val="12"/>
            </w:pPr>
            <w:r>
              <w:t>安保经费发放准确率</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处理突发事件及时率</w:t>
            </w:r>
          </w:p>
          <w:p>
            <w:pPr>
              <w:pStyle w:val="12"/>
            </w:pPr>
          </w:p>
        </w:tc>
        <w:tc>
          <w:tcPr>
            <w:tcW w:w="5386" w:type="dxa"/>
            <w:vAlign w:val="center"/>
          </w:tcPr>
          <w:p>
            <w:pPr>
              <w:pStyle w:val="12"/>
            </w:pPr>
            <w:r>
              <w:t>处理突发事件及时率</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5386" w:type="dxa"/>
            <w:vAlign w:val="center"/>
          </w:tcPr>
          <w:p>
            <w:pPr>
              <w:pStyle w:val="12"/>
            </w:pPr>
            <w:r>
              <w:t>在预算范围内合理安排使用</w:t>
            </w:r>
          </w:p>
          <w:p>
            <w:pPr>
              <w:pStyle w:val="12"/>
            </w:pPr>
          </w:p>
        </w:tc>
        <w:tc>
          <w:tcPr>
            <w:tcW w:w="2268" w:type="dxa"/>
            <w:vAlign w:val="center"/>
          </w:tcPr>
          <w:p>
            <w:pPr>
              <w:pStyle w:val="12"/>
            </w:pPr>
            <w:r>
              <w:t>≤34万元</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全面提升城市窗口形象</w:t>
            </w:r>
          </w:p>
        </w:tc>
        <w:tc>
          <w:tcPr>
            <w:tcW w:w="5386" w:type="dxa"/>
            <w:vAlign w:val="center"/>
          </w:tcPr>
          <w:p>
            <w:pPr>
              <w:pStyle w:val="12"/>
            </w:pPr>
            <w:r>
              <w:t>全面提升城市窗口形象</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为旅客出行提供良好的治安环境</w:t>
            </w:r>
          </w:p>
        </w:tc>
        <w:tc>
          <w:tcPr>
            <w:tcW w:w="5386" w:type="dxa"/>
            <w:vAlign w:val="center"/>
          </w:tcPr>
          <w:p>
            <w:pPr>
              <w:pStyle w:val="12"/>
            </w:pPr>
            <w:r>
              <w:t>为旅客出行提供良好的治安环境</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公众安全感指数提升</w:t>
            </w:r>
          </w:p>
        </w:tc>
        <w:tc>
          <w:tcPr>
            <w:tcW w:w="5386" w:type="dxa"/>
            <w:vAlign w:val="center"/>
          </w:tcPr>
          <w:p>
            <w:pPr>
              <w:pStyle w:val="12"/>
            </w:pPr>
            <w:r>
              <w:t>公众安全感指数提升</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旅客满意度</w:t>
            </w:r>
          </w:p>
        </w:tc>
        <w:tc>
          <w:tcPr>
            <w:tcW w:w="5386" w:type="dxa"/>
            <w:vAlign w:val="center"/>
          </w:tcPr>
          <w:p>
            <w:pPr>
              <w:pStyle w:val="12"/>
            </w:pPr>
            <w:r>
              <w:t>旅客对火车站安全的满意度</w:t>
            </w:r>
          </w:p>
          <w:p>
            <w:pPr>
              <w:pStyle w:val="12"/>
            </w:pPr>
          </w:p>
        </w:tc>
        <w:tc>
          <w:tcPr>
            <w:tcW w:w="2268" w:type="dxa"/>
            <w:vAlign w:val="center"/>
          </w:tcPr>
          <w:p>
            <w:pPr>
              <w:pStyle w:val="12"/>
            </w:pPr>
            <w:r>
              <w:t>≥90%</w:t>
            </w:r>
          </w:p>
        </w:tc>
        <w:tc>
          <w:tcPr>
            <w:tcW w:w="1276"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2、站前广场运转及维护经费绩效目标表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13030225P000161100163</w:t>
            </w:r>
          </w:p>
        </w:tc>
        <w:tc>
          <w:tcPr>
            <w:tcW w:w="2835" w:type="dxa"/>
            <w:vAlign w:val="center"/>
          </w:tcPr>
          <w:p>
            <w:pPr>
              <w:pStyle w:val="10"/>
            </w:pPr>
            <w:r>
              <w:t>项目名称</w:t>
            </w:r>
          </w:p>
        </w:tc>
        <w:tc>
          <w:tcPr>
            <w:tcW w:w="6095" w:type="dxa"/>
            <w:gridSpan w:val="3"/>
            <w:vAlign w:val="center"/>
          </w:tcPr>
          <w:p>
            <w:pPr>
              <w:pStyle w:val="12"/>
            </w:pPr>
            <w:r>
              <w:t>站前广场运转及维护经费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450.00</w:t>
            </w:r>
          </w:p>
        </w:tc>
        <w:tc>
          <w:tcPr>
            <w:tcW w:w="2835" w:type="dxa"/>
            <w:vAlign w:val="center"/>
          </w:tcPr>
          <w:p>
            <w:pPr>
              <w:pStyle w:val="10"/>
            </w:pPr>
            <w:r>
              <w:t>其中：财政    资金</w:t>
            </w:r>
          </w:p>
        </w:tc>
        <w:tc>
          <w:tcPr>
            <w:tcW w:w="2551" w:type="dxa"/>
            <w:vAlign w:val="center"/>
          </w:tcPr>
          <w:p>
            <w:pPr>
              <w:pStyle w:val="12"/>
            </w:pPr>
            <w:r>
              <w:t>450.00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保障火车站广场各项设施正常运转，为旅客出行提供舒适的环境。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1.保障火车站广场设施正常运转。</w:t>
            </w:r>
          </w:p>
          <w:p>
            <w:pPr>
              <w:pStyle w:val="12"/>
            </w:pPr>
            <w:r>
              <w:t>2.保障火车站广场干净整洁。</w:t>
            </w:r>
          </w:p>
          <w:p>
            <w:pPr>
              <w:pStyle w:val="12"/>
            </w:pPr>
            <w:r>
              <w:t>3.保障火车站广场范围内的车辆及人员及时疏导。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火车站广场需保洁面积</w:t>
            </w:r>
          </w:p>
        </w:tc>
        <w:tc>
          <w:tcPr>
            <w:tcW w:w="5386" w:type="dxa"/>
            <w:vAlign w:val="center"/>
          </w:tcPr>
          <w:p>
            <w:pPr>
              <w:pStyle w:val="12"/>
            </w:pPr>
            <w:r>
              <w:t>火车站广场需保洁面积</w:t>
            </w:r>
          </w:p>
        </w:tc>
        <w:tc>
          <w:tcPr>
            <w:tcW w:w="2268" w:type="dxa"/>
            <w:vAlign w:val="center"/>
          </w:tcPr>
          <w:p>
            <w:pPr>
              <w:pStyle w:val="12"/>
            </w:pPr>
            <w:r>
              <w:t>≥39000平米</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维修工程验收合格率</w:t>
            </w:r>
          </w:p>
        </w:tc>
        <w:tc>
          <w:tcPr>
            <w:tcW w:w="5386" w:type="dxa"/>
            <w:vAlign w:val="center"/>
          </w:tcPr>
          <w:p>
            <w:pPr>
              <w:pStyle w:val="12"/>
            </w:pPr>
            <w:r>
              <w:t>维修工程验收合格率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维修工程完工及时率</w:t>
            </w:r>
          </w:p>
        </w:tc>
        <w:tc>
          <w:tcPr>
            <w:tcW w:w="5386" w:type="dxa"/>
            <w:vAlign w:val="center"/>
          </w:tcPr>
          <w:p>
            <w:pPr>
              <w:pStyle w:val="12"/>
            </w:pPr>
            <w:r>
              <w:t>维修工程完工及时率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≤450万元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保障火车站广场设施正常运转</w:t>
            </w:r>
          </w:p>
        </w:tc>
        <w:tc>
          <w:tcPr>
            <w:tcW w:w="5386" w:type="dxa"/>
            <w:vAlign w:val="center"/>
          </w:tcPr>
          <w:p>
            <w:pPr>
              <w:pStyle w:val="12"/>
            </w:pPr>
            <w:r>
              <w:t>保障火车站广场设施正常运转</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为旅客出行提供良好的卫生环境</w:t>
            </w:r>
          </w:p>
        </w:tc>
        <w:tc>
          <w:tcPr>
            <w:tcW w:w="5386" w:type="dxa"/>
            <w:vAlign w:val="center"/>
          </w:tcPr>
          <w:p>
            <w:pPr>
              <w:pStyle w:val="12"/>
            </w:pPr>
            <w:r>
              <w:t>为旅客出行提供良好的卫生环境</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火车站出行旅客满意度</w:t>
            </w:r>
          </w:p>
        </w:tc>
        <w:tc>
          <w:tcPr>
            <w:tcW w:w="5386" w:type="dxa"/>
            <w:vAlign w:val="center"/>
          </w:tcPr>
          <w:p>
            <w:pPr>
              <w:pStyle w:val="12"/>
            </w:pPr>
            <w:r>
              <w:t>火车站出行旅客满意度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3、站前广场治安、志愿者等政府购买服务（RY)绩效目标表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13030225P000161100040</w:t>
            </w:r>
          </w:p>
        </w:tc>
        <w:tc>
          <w:tcPr>
            <w:tcW w:w="2835" w:type="dxa"/>
            <w:vAlign w:val="center"/>
          </w:tcPr>
          <w:p>
            <w:pPr>
              <w:pStyle w:val="10"/>
            </w:pPr>
            <w:r>
              <w:t>项目名称</w:t>
            </w:r>
          </w:p>
        </w:tc>
        <w:tc>
          <w:tcPr>
            <w:tcW w:w="6095" w:type="dxa"/>
            <w:gridSpan w:val="3"/>
            <w:vAlign w:val="center"/>
          </w:tcPr>
          <w:p>
            <w:pPr>
              <w:pStyle w:val="12"/>
            </w:pPr>
            <w:r>
              <w:t>站前广场治安、志愿者等政府购买服务（RY)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595.00</w:t>
            </w:r>
          </w:p>
        </w:tc>
        <w:tc>
          <w:tcPr>
            <w:tcW w:w="2835" w:type="dxa"/>
            <w:vAlign w:val="center"/>
          </w:tcPr>
          <w:p>
            <w:pPr>
              <w:pStyle w:val="10"/>
            </w:pPr>
            <w:r>
              <w:t>其中：财政    资金</w:t>
            </w:r>
          </w:p>
        </w:tc>
        <w:tc>
          <w:tcPr>
            <w:tcW w:w="2551" w:type="dxa"/>
            <w:vAlign w:val="center"/>
          </w:tcPr>
          <w:p>
            <w:pPr>
              <w:pStyle w:val="12"/>
            </w:pPr>
            <w:r>
              <w:t>595.00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为出行旅客做好保障服务工作。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148.75</w:t>
            </w:r>
          </w:p>
        </w:tc>
        <w:tc>
          <w:tcPr>
            <w:tcW w:w="2835" w:type="dxa"/>
            <w:vAlign w:val="center"/>
          </w:tcPr>
          <w:p>
            <w:pPr>
              <w:pStyle w:val="13"/>
            </w:pPr>
            <w:r>
              <w:t>297.50</w:t>
            </w:r>
          </w:p>
        </w:tc>
        <w:tc>
          <w:tcPr>
            <w:tcW w:w="2551" w:type="dxa"/>
            <w:vAlign w:val="center"/>
          </w:tcPr>
          <w:p>
            <w:pPr>
              <w:pStyle w:val="13"/>
            </w:pPr>
            <w:r>
              <w:t>446.25</w:t>
            </w:r>
          </w:p>
        </w:tc>
        <w:tc>
          <w:tcPr>
            <w:tcW w:w="3544" w:type="dxa"/>
            <w:gridSpan w:val="2"/>
            <w:vAlign w:val="center"/>
          </w:tcPr>
          <w:p>
            <w:pPr>
              <w:pStyle w:val="13"/>
            </w:pPr>
            <w:r>
              <w:t>595.00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1.为出行旅客做好保障服务工作。</w:t>
            </w:r>
          </w:p>
          <w:p>
            <w:pPr>
              <w:pStyle w:val="12"/>
            </w:pPr>
            <w:r>
              <w:t>2.有效落实优化营商环境工作要求，提升进出站客流疏散效率。</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站前广场服务人员数量</w:t>
            </w:r>
          </w:p>
        </w:tc>
        <w:tc>
          <w:tcPr>
            <w:tcW w:w="5386" w:type="dxa"/>
            <w:vAlign w:val="center"/>
          </w:tcPr>
          <w:p>
            <w:pPr>
              <w:pStyle w:val="12"/>
            </w:pPr>
            <w:r>
              <w:t>站前广场服务人员数量</w:t>
            </w:r>
          </w:p>
        </w:tc>
        <w:tc>
          <w:tcPr>
            <w:tcW w:w="2268" w:type="dxa"/>
            <w:vAlign w:val="center"/>
          </w:tcPr>
          <w:p>
            <w:pPr>
              <w:pStyle w:val="12"/>
            </w:pPr>
            <w:r>
              <w:t>≥135人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为旅客提供便民服务及时率</w:t>
            </w:r>
          </w:p>
        </w:tc>
        <w:tc>
          <w:tcPr>
            <w:tcW w:w="5386" w:type="dxa"/>
            <w:vAlign w:val="center"/>
          </w:tcPr>
          <w:p>
            <w:pPr>
              <w:pStyle w:val="12"/>
            </w:pPr>
            <w:r>
              <w:t>为旅客提供便民服务及时率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火车站广场客流疏散及时率</w:t>
            </w:r>
          </w:p>
        </w:tc>
        <w:tc>
          <w:tcPr>
            <w:tcW w:w="5386" w:type="dxa"/>
            <w:vAlign w:val="center"/>
          </w:tcPr>
          <w:p>
            <w:pPr>
              <w:pStyle w:val="12"/>
            </w:pPr>
            <w:r>
              <w:t>及时疏散站前广场出行旅客人流</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≤595万元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保障服务工伤顺利进行</w:t>
            </w:r>
          </w:p>
        </w:tc>
        <w:tc>
          <w:tcPr>
            <w:tcW w:w="5386" w:type="dxa"/>
            <w:vAlign w:val="center"/>
          </w:tcPr>
          <w:p>
            <w:pPr>
              <w:pStyle w:val="12"/>
            </w:pPr>
            <w:r>
              <w:t>保障服务工伤顺利进行</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有效落实优化营商环境工作要求</w:t>
            </w:r>
          </w:p>
        </w:tc>
        <w:tc>
          <w:tcPr>
            <w:tcW w:w="5386" w:type="dxa"/>
            <w:vAlign w:val="center"/>
          </w:tcPr>
          <w:p>
            <w:pPr>
              <w:pStyle w:val="12"/>
            </w:pPr>
            <w:r>
              <w:t>有效落实优化营商环境工作要求</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火车站出行旅客满意度</w:t>
            </w:r>
          </w:p>
        </w:tc>
        <w:tc>
          <w:tcPr>
            <w:tcW w:w="5386" w:type="dxa"/>
            <w:vAlign w:val="center"/>
          </w:tcPr>
          <w:p>
            <w:pPr>
              <w:pStyle w:val="12"/>
            </w:pPr>
            <w:r>
              <w:t>火车站出行旅客满意度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961.49</w:t>
            </w:r>
          </w:p>
        </w:tc>
        <w:tc>
          <w:tcPr>
            <w:tcW w:w="964" w:type="dxa"/>
            <w:vAlign w:val="center"/>
          </w:tcPr>
          <w:p>
            <w:pPr>
              <w:pStyle w:val="15"/>
            </w:pPr>
            <w:r>
              <w:t>961.49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秦皇岛火车站广场服务中心本级小计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961.49</w:t>
            </w:r>
          </w:p>
        </w:tc>
        <w:tc>
          <w:tcPr>
            <w:tcW w:w="964" w:type="dxa"/>
            <w:vAlign w:val="center"/>
          </w:tcPr>
          <w:p>
            <w:pPr>
              <w:pStyle w:val="15"/>
            </w:pPr>
            <w:r>
              <w:t>961.49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54.17</w:t>
            </w:r>
          </w:p>
        </w:tc>
        <w:tc>
          <w:tcPr>
            <w:tcW w:w="1134" w:type="dxa"/>
            <w:vAlign w:val="center"/>
          </w:tcPr>
          <w:p>
            <w:pPr>
              <w:pStyle w:val="12"/>
            </w:pPr>
            <w:r>
              <w:t>房屋租赁服务</w:t>
            </w:r>
          </w:p>
        </w:tc>
        <w:tc>
          <w:tcPr>
            <w:tcW w:w="1134" w:type="dxa"/>
            <w:vAlign w:val="center"/>
          </w:tcPr>
          <w:p>
            <w:pPr>
              <w:pStyle w:val="12"/>
            </w:pPr>
            <w:r>
              <w:t>C21020000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49.52</w:t>
            </w:r>
          </w:p>
        </w:tc>
        <w:tc>
          <w:tcPr>
            <w:tcW w:w="964" w:type="dxa"/>
            <w:vAlign w:val="center"/>
          </w:tcPr>
          <w:p>
            <w:pPr>
              <w:pStyle w:val="11"/>
            </w:pPr>
            <w:r>
              <w:t>49.52</w:t>
            </w:r>
          </w:p>
        </w:tc>
        <w:tc>
          <w:tcPr>
            <w:tcW w:w="964" w:type="dxa"/>
            <w:vAlign w:val="center"/>
          </w:tcPr>
          <w:p>
            <w:pPr>
              <w:pStyle w:val="11"/>
            </w:pPr>
            <w:r>
              <w:t>49.52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3.40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60</w:t>
            </w:r>
          </w:p>
        </w:tc>
        <w:tc>
          <w:tcPr>
            <w:tcW w:w="850" w:type="dxa"/>
            <w:vAlign w:val="center"/>
          </w:tcPr>
          <w:p>
            <w:pPr>
              <w:pStyle w:val="11"/>
            </w:pPr>
            <w:r>
              <w:t>0.01</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站前广场运转及维护经费</w:t>
            </w:r>
          </w:p>
        </w:tc>
        <w:tc>
          <w:tcPr>
            <w:tcW w:w="964" w:type="dxa"/>
            <w:vAlign w:val="center"/>
          </w:tcPr>
          <w:p>
            <w:pPr>
              <w:pStyle w:val="11"/>
            </w:pPr>
            <w:r>
              <w:t>450.00</w:t>
            </w:r>
          </w:p>
        </w:tc>
        <w:tc>
          <w:tcPr>
            <w:tcW w:w="1134" w:type="dxa"/>
            <w:vAlign w:val="center"/>
          </w:tcPr>
          <w:p>
            <w:pPr>
              <w:pStyle w:val="12"/>
            </w:pPr>
            <w:r>
              <w:t>其他电气设备</w:t>
            </w:r>
          </w:p>
        </w:tc>
        <w:tc>
          <w:tcPr>
            <w:tcW w:w="1134" w:type="dxa"/>
            <w:vAlign w:val="center"/>
          </w:tcPr>
          <w:p>
            <w:pPr>
              <w:pStyle w:val="12"/>
            </w:pPr>
            <w:r>
              <w:t>A02069900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53.00</w:t>
            </w:r>
          </w:p>
        </w:tc>
        <w:tc>
          <w:tcPr>
            <w:tcW w:w="964" w:type="dxa"/>
            <w:vAlign w:val="center"/>
          </w:tcPr>
          <w:p>
            <w:pPr>
              <w:pStyle w:val="11"/>
            </w:pPr>
            <w:r>
              <w:t>53.00</w:t>
            </w:r>
          </w:p>
        </w:tc>
        <w:tc>
          <w:tcPr>
            <w:tcW w:w="964" w:type="dxa"/>
            <w:vAlign w:val="center"/>
          </w:tcPr>
          <w:p>
            <w:pPr>
              <w:pStyle w:val="11"/>
            </w:pPr>
            <w:r>
              <w:t>53.00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站前广场运转及维护经费</w:t>
            </w:r>
          </w:p>
        </w:tc>
        <w:tc>
          <w:tcPr>
            <w:tcW w:w="964" w:type="dxa"/>
            <w:vAlign w:val="center"/>
          </w:tcPr>
          <w:p>
            <w:pPr>
              <w:pStyle w:val="11"/>
            </w:pPr>
            <w:r>
              <w:t>450.00</w:t>
            </w:r>
          </w:p>
        </w:tc>
        <w:tc>
          <w:tcPr>
            <w:tcW w:w="1134" w:type="dxa"/>
            <w:vAlign w:val="center"/>
          </w:tcPr>
          <w:p>
            <w:pPr>
              <w:pStyle w:val="12"/>
            </w:pPr>
            <w:r>
              <w:t>装修工程</w:t>
            </w:r>
          </w:p>
        </w:tc>
        <w:tc>
          <w:tcPr>
            <w:tcW w:w="1134" w:type="dxa"/>
            <w:vAlign w:val="center"/>
          </w:tcPr>
          <w:p>
            <w:pPr>
              <w:pStyle w:val="12"/>
            </w:pPr>
            <w:r>
              <w:t>B07000000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站前广场运转及维护经费</w:t>
            </w:r>
          </w:p>
        </w:tc>
        <w:tc>
          <w:tcPr>
            <w:tcW w:w="964" w:type="dxa"/>
            <w:vAlign w:val="center"/>
          </w:tcPr>
          <w:p>
            <w:pPr>
              <w:pStyle w:val="11"/>
            </w:pPr>
            <w:r>
              <w:t>450.00</w:t>
            </w:r>
          </w:p>
        </w:tc>
        <w:tc>
          <w:tcPr>
            <w:tcW w:w="1134" w:type="dxa"/>
            <w:vAlign w:val="center"/>
          </w:tcPr>
          <w:p>
            <w:pPr>
              <w:pStyle w:val="12"/>
            </w:pPr>
            <w:r>
              <w:t>电力分配服务</w:t>
            </w:r>
          </w:p>
        </w:tc>
        <w:tc>
          <w:tcPr>
            <w:tcW w:w="1134" w:type="dxa"/>
            <w:vAlign w:val="center"/>
          </w:tcPr>
          <w:p>
            <w:pPr>
              <w:pStyle w:val="12"/>
            </w:pPr>
            <w:r>
              <w:t>C08010200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站前广场运转及维护经费</w:t>
            </w:r>
          </w:p>
        </w:tc>
        <w:tc>
          <w:tcPr>
            <w:tcW w:w="964" w:type="dxa"/>
            <w:vAlign w:val="center"/>
          </w:tcPr>
          <w:p>
            <w:pPr>
              <w:pStyle w:val="11"/>
            </w:pPr>
            <w:r>
              <w:t>450.00</w:t>
            </w:r>
          </w:p>
        </w:tc>
        <w:tc>
          <w:tcPr>
            <w:tcW w:w="1134" w:type="dxa"/>
            <w:vAlign w:val="center"/>
          </w:tcPr>
          <w:p>
            <w:pPr>
              <w:pStyle w:val="12"/>
            </w:pPr>
            <w:r>
              <w:t>市容管理服务</w:t>
            </w:r>
          </w:p>
        </w:tc>
        <w:tc>
          <w:tcPr>
            <w:tcW w:w="1134" w:type="dxa"/>
            <w:vAlign w:val="center"/>
          </w:tcPr>
          <w:p>
            <w:pPr>
              <w:pStyle w:val="12"/>
            </w:pPr>
            <w:r>
              <w:t>C13040000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站前广场运转及维护经费</w:t>
            </w:r>
          </w:p>
        </w:tc>
        <w:tc>
          <w:tcPr>
            <w:tcW w:w="964" w:type="dxa"/>
            <w:vAlign w:val="center"/>
          </w:tcPr>
          <w:p>
            <w:pPr>
              <w:pStyle w:val="11"/>
            </w:pPr>
            <w:r>
              <w:t>450.00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0.17</w:t>
            </w:r>
          </w:p>
        </w:tc>
        <w:tc>
          <w:tcPr>
            <w:tcW w:w="964" w:type="dxa"/>
            <w:vAlign w:val="center"/>
          </w:tcPr>
          <w:p>
            <w:pPr>
              <w:pStyle w:val="11"/>
            </w:pPr>
            <w:r>
              <w:t>0.17</w:t>
            </w:r>
          </w:p>
        </w:tc>
        <w:tc>
          <w:tcPr>
            <w:tcW w:w="964" w:type="dxa"/>
            <w:vAlign w:val="center"/>
          </w:tcPr>
          <w:p>
            <w:pPr>
              <w:pStyle w:val="11"/>
            </w:pPr>
            <w:r>
              <w:t>0.17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站前广场运转及维护经费</w:t>
            </w:r>
          </w:p>
        </w:tc>
        <w:tc>
          <w:tcPr>
            <w:tcW w:w="964" w:type="dxa"/>
            <w:vAlign w:val="center"/>
          </w:tcPr>
          <w:p>
            <w:pPr>
              <w:pStyle w:val="11"/>
            </w:pPr>
            <w:r>
              <w:t>450.00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站前广场运转及维护经费</w:t>
            </w:r>
          </w:p>
        </w:tc>
        <w:tc>
          <w:tcPr>
            <w:tcW w:w="964" w:type="dxa"/>
            <w:vAlign w:val="center"/>
          </w:tcPr>
          <w:p>
            <w:pPr>
              <w:pStyle w:val="11"/>
            </w:pPr>
            <w:r>
              <w:t>450.00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站前广场运转及维护经费</w:t>
            </w:r>
          </w:p>
        </w:tc>
        <w:tc>
          <w:tcPr>
            <w:tcW w:w="964" w:type="dxa"/>
            <w:vAlign w:val="center"/>
          </w:tcPr>
          <w:p>
            <w:pPr>
              <w:pStyle w:val="11"/>
            </w:pPr>
            <w:r>
              <w:t>450.00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站前广场治安、志愿者等政府购买服务（RY)</w:t>
            </w:r>
          </w:p>
        </w:tc>
        <w:tc>
          <w:tcPr>
            <w:tcW w:w="964" w:type="dxa"/>
            <w:vAlign w:val="center"/>
          </w:tcPr>
          <w:p>
            <w:pPr>
              <w:pStyle w:val="11"/>
            </w:pPr>
            <w:r>
              <w:t>595.00</w:t>
            </w:r>
          </w:p>
        </w:tc>
        <w:tc>
          <w:tcPr>
            <w:tcW w:w="1134" w:type="dxa"/>
            <w:vAlign w:val="center"/>
          </w:tcPr>
          <w:p>
            <w:pPr>
              <w:pStyle w:val="12"/>
            </w:pPr>
            <w:r>
              <w:t>公共安全服务</w:t>
            </w:r>
          </w:p>
        </w:tc>
        <w:tc>
          <w:tcPr>
            <w:tcW w:w="1134" w:type="dxa"/>
            <w:vAlign w:val="center"/>
          </w:tcPr>
          <w:p>
            <w:pPr>
              <w:pStyle w:val="12"/>
            </w:pPr>
            <w:r>
              <w:t>C05040100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595.00</w:t>
            </w:r>
          </w:p>
        </w:tc>
        <w:tc>
          <w:tcPr>
            <w:tcW w:w="964" w:type="dxa"/>
            <w:vAlign w:val="center"/>
          </w:tcPr>
          <w:p>
            <w:pPr>
              <w:pStyle w:val="11"/>
            </w:pPr>
            <w:r>
              <w:t>595.00</w:t>
            </w:r>
          </w:p>
        </w:tc>
        <w:tc>
          <w:tcPr>
            <w:tcW w:w="964" w:type="dxa"/>
            <w:vAlign w:val="center"/>
          </w:tcPr>
          <w:p>
            <w:pPr>
              <w:pStyle w:val="11"/>
            </w:pPr>
            <w:r>
              <w:t>595.00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秦皇岛火车站广场服务中心本级上年末固定资产金额为947.33万元（详见下表）。本年度拟购置固定资产总额为63.90万元，已按要求列入政府采购预算，详见政府采购预算表。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947.33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34.04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132.22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672</w:t>
            </w:r>
          </w:p>
        </w:tc>
        <w:tc>
          <w:tcPr>
            <w:tcW w:w="2835" w:type="dxa"/>
            <w:vAlign w:val="center"/>
          </w:tcPr>
          <w:p>
            <w:pPr>
              <w:pStyle w:val="11"/>
            </w:pPr>
            <w:r>
              <w:t>781.07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24D6B"/>
    <w:rsid w:val="50A472D4"/>
    <w:rsid w:val="5D9C22E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TotalTime>0</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2025-04-06T14:58:00Z</dcterms:created>
  <dc:creator>Administrator</dc:creator>
  <cp:lastModifiedBy>Administrator</cp:lastModifiedBy>
  <dcterms:modified xsi:type="dcterms:W3CDTF">2025-04-06T07:11:07Z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8AD5132D29C54953BDC5D3D0C460E8A9</vt:lpwstr>
  </property>
</Properties>
</file>