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341秦皇岛火车站广场服务中心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1390.25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1328.89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1390.25</w:t>
            </w:r>
          </w:p>
        </w:tc>
        <w:tc>
          <w:tcPr>
            <w:tcW w:w="4535" w:type="dxa"/>
            <w:vAlign w:val="center"/>
          </w:tcPr>
          <w:p>
            <w:pPr>
              <w:pStyle w:val="15"/>
            </w:pPr>
            <w:r>
              <w:t>本年支出合计</w:t>
            </w:r>
          </w:p>
        </w:tc>
        <w:tc>
          <w:tcPr>
            <w:tcW w:w="2126" w:type="dxa"/>
            <w:vAlign w:val="center"/>
          </w:tcPr>
          <w:p>
            <w:pPr>
              <w:pStyle w:val="16"/>
            </w:pPr>
            <w:r>
              <w:t>1390.25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1390.25</w:t>
            </w:r>
          </w:p>
        </w:tc>
        <w:tc>
          <w:tcPr>
            <w:tcW w:w="4535" w:type="dxa"/>
            <w:vAlign w:val="center"/>
          </w:tcPr>
          <w:p>
            <w:pPr>
              <w:pStyle w:val="15"/>
            </w:pPr>
            <w:r>
              <w:t>支出总计</w:t>
            </w:r>
          </w:p>
        </w:tc>
        <w:tc>
          <w:tcPr>
            <w:tcW w:w="2126" w:type="dxa"/>
            <w:vAlign w:val="center"/>
          </w:tcPr>
          <w:p>
            <w:pPr>
              <w:pStyle w:val="16"/>
            </w:pPr>
            <w:r>
              <w:t>1390.25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341秦皇岛火车站广场服务中心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1390.25</w:t>
            </w:r>
          </w:p>
        </w:tc>
        <w:tc>
          <w:tcPr>
            <w:tcW w:w="1134" w:type="dxa"/>
            <w:vAlign w:val="center"/>
          </w:tcPr>
          <w:p>
            <w:pPr>
              <w:pStyle w:val="16"/>
            </w:pPr>
            <w:r>
              <w:t>1390.25</w:t>
            </w:r>
          </w:p>
        </w:tc>
        <w:tc>
          <w:tcPr>
            <w:tcW w:w="1134" w:type="dxa"/>
            <w:vAlign w:val="center"/>
          </w:tcPr>
          <w:p>
            <w:pPr>
              <w:pStyle w:val="16"/>
            </w:pPr>
            <w:r>
              <w:t>1390.25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25.94</w:t>
            </w:r>
          </w:p>
        </w:tc>
        <w:tc>
          <w:tcPr>
            <w:tcW w:w="1134" w:type="dxa"/>
            <w:vAlign w:val="center"/>
          </w:tcPr>
          <w:p>
            <w:pPr>
              <w:pStyle w:val="12"/>
            </w:pPr>
            <w:r>
              <w:t>25.94</w:t>
            </w:r>
          </w:p>
        </w:tc>
        <w:tc>
          <w:tcPr>
            <w:tcW w:w="1134" w:type="dxa"/>
            <w:vAlign w:val="center"/>
          </w:tcPr>
          <w:p>
            <w:pPr>
              <w:pStyle w:val="12"/>
            </w:pPr>
            <w:r>
              <w:t>25.94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25.94</w:t>
            </w:r>
          </w:p>
        </w:tc>
        <w:tc>
          <w:tcPr>
            <w:tcW w:w="1134" w:type="dxa"/>
            <w:vAlign w:val="center"/>
          </w:tcPr>
          <w:p>
            <w:pPr>
              <w:pStyle w:val="12"/>
            </w:pPr>
            <w:r>
              <w:t>25.94</w:t>
            </w:r>
          </w:p>
        </w:tc>
        <w:tc>
          <w:tcPr>
            <w:tcW w:w="1134" w:type="dxa"/>
            <w:vAlign w:val="center"/>
          </w:tcPr>
          <w:p>
            <w:pPr>
              <w:pStyle w:val="12"/>
            </w:pPr>
            <w:r>
              <w:t>25.94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25.94</w:t>
            </w:r>
          </w:p>
        </w:tc>
        <w:tc>
          <w:tcPr>
            <w:tcW w:w="1134" w:type="dxa"/>
            <w:vAlign w:val="center"/>
          </w:tcPr>
          <w:p>
            <w:pPr>
              <w:pStyle w:val="12"/>
            </w:pPr>
            <w:r>
              <w:t>25.94</w:t>
            </w:r>
          </w:p>
        </w:tc>
        <w:tc>
          <w:tcPr>
            <w:tcW w:w="1134" w:type="dxa"/>
            <w:vAlign w:val="center"/>
          </w:tcPr>
          <w:p>
            <w:pPr>
              <w:pStyle w:val="12"/>
            </w:pPr>
            <w:r>
              <w:t>25.94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15.29</w:t>
            </w:r>
          </w:p>
        </w:tc>
        <w:tc>
          <w:tcPr>
            <w:tcW w:w="1134" w:type="dxa"/>
            <w:vAlign w:val="center"/>
          </w:tcPr>
          <w:p>
            <w:pPr>
              <w:pStyle w:val="12"/>
            </w:pPr>
            <w:r>
              <w:t>15.29</w:t>
            </w:r>
          </w:p>
        </w:tc>
        <w:tc>
          <w:tcPr>
            <w:tcW w:w="1134" w:type="dxa"/>
            <w:vAlign w:val="center"/>
          </w:tcPr>
          <w:p>
            <w:pPr>
              <w:pStyle w:val="12"/>
            </w:pPr>
            <w:r>
              <w:t>15.29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15.29</w:t>
            </w:r>
          </w:p>
        </w:tc>
        <w:tc>
          <w:tcPr>
            <w:tcW w:w="1134" w:type="dxa"/>
            <w:vAlign w:val="center"/>
          </w:tcPr>
          <w:p>
            <w:pPr>
              <w:pStyle w:val="12"/>
            </w:pPr>
            <w:r>
              <w:t>15.29</w:t>
            </w:r>
          </w:p>
        </w:tc>
        <w:tc>
          <w:tcPr>
            <w:tcW w:w="1134" w:type="dxa"/>
            <w:vAlign w:val="center"/>
          </w:tcPr>
          <w:p>
            <w:pPr>
              <w:pStyle w:val="12"/>
            </w:pPr>
            <w:r>
              <w:t>15.29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8.78</w:t>
            </w:r>
          </w:p>
        </w:tc>
        <w:tc>
          <w:tcPr>
            <w:tcW w:w="1134" w:type="dxa"/>
            <w:vAlign w:val="center"/>
          </w:tcPr>
          <w:p>
            <w:pPr>
              <w:pStyle w:val="12"/>
            </w:pPr>
            <w:r>
              <w:t>8.78</w:t>
            </w:r>
          </w:p>
        </w:tc>
        <w:tc>
          <w:tcPr>
            <w:tcW w:w="1134" w:type="dxa"/>
            <w:vAlign w:val="center"/>
          </w:tcPr>
          <w:p>
            <w:pPr>
              <w:pStyle w:val="12"/>
            </w:pPr>
            <w:r>
              <w:t>8.78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1328.89</w:t>
            </w:r>
          </w:p>
        </w:tc>
        <w:tc>
          <w:tcPr>
            <w:tcW w:w="1134" w:type="dxa"/>
            <w:vAlign w:val="center"/>
          </w:tcPr>
          <w:p>
            <w:pPr>
              <w:pStyle w:val="12"/>
            </w:pPr>
            <w:r>
              <w:t>1328.89</w:t>
            </w:r>
          </w:p>
        </w:tc>
        <w:tc>
          <w:tcPr>
            <w:tcW w:w="1134" w:type="dxa"/>
            <w:vAlign w:val="center"/>
          </w:tcPr>
          <w:p>
            <w:pPr>
              <w:pStyle w:val="12"/>
            </w:pPr>
            <w:r>
              <w:t>1328.89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1328.89</w:t>
            </w:r>
          </w:p>
        </w:tc>
        <w:tc>
          <w:tcPr>
            <w:tcW w:w="1134" w:type="dxa"/>
            <w:vAlign w:val="center"/>
          </w:tcPr>
          <w:p>
            <w:pPr>
              <w:pStyle w:val="12"/>
            </w:pPr>
            <w:r>
              <w:t>1328.89</w:t>
            </w:r>
          </w:p>
        </w:tc>
        <w:tc>
          <w:tcPr>
            <w:tcW w:w="1134" w:type="dxa"/>
            <w:vAlign w:val="center"/>
          </w:tcPr>
          <w:p>
            <w:pPr>
              <w:pStyle w:val="12"/>
            </w:pPr>
            <w:r>
              <w:t>1328.89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1328.89</w:t>
            </w:r>
          </w:p>
        </w:tc>
        <w:tc>
          <w:tcPr>
            <w:tcW w:w="1134" w:type="dxa"/>
            <w:vAlign w:val="center"/>
          </w:tcPr>
          <w:p>
            <w:pPr>
              <w:pStyle w:val="12"/>
            </w:pPr>
            <w:r>
              <w:t>1328.89</w:t>
            </w:r>
          </w:p>
        </w:tc>
        <w:tc>
          <w:tcPr>
            <w:tcW w:w="1134" w:type="dxa"/>
            <w:vAlign w:val="center"/>
          </w:tcPr>
          <w:p>
            <w:pPr>
              <w:pStyle w:val="12"/>
            </w:pPr>
            <w:r>
              <w:t>1328.89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20.13</w:t>
            </w:r>
          </w:p>
        </w:tc>
        <w:tc>
          <w:tcPr>
            <w:tcW w:w="1134" w:type="dxa"/>
            <w:vAlign w:val="center"/>
          </w:tcPr>
          <w:p>
            <w:pPr>
              <w:pStyle w:val="12"/>
            </w:pPr>
            <w:r>
              <w:t>20.13</w:t>
            </w:r>
          </w:p>
        </w:tc>
        <w:tc>
          <w:tcPr>
            <w:tcW w:w="1134" w:type="dxa"/>
            <w:vAlign w:val="center"/>
          </w:tcPr>
          <w:p>
            <w:pPr>
              <w:pStyle w:val="12"/>
            </w:pPr>
            <w:r>
              <w:t>20.13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20.13</w:t>
            </w:r>
          </w:p>
        </w:tc>
        <w:tc>
          <w:tcPr>
            <w:tcW w:w="1134" w:type="dxa"/>
            <w:vAlign w:val="center"/>
          </w:tcPr>
          <w:p>
            <w:pPr>
              <w:pStyle w:val="12"/>
            </w:pPr>
            <w:r>
              <w:t>20.13</w:t>
            </w:r>
          </w:p>
        </w:tc>
        <w:tc>
          <w:tcPr>
            <w:tcW w:w="1134" w:type="dxa"/>
            <w:vAlign w:val="center"/>
          </w:tcPr>
          <w:p>
            <w:pPr>
              <w:pStyle w:val="12"/>
            </w:pPr>
            <w:r>
              <w:t>20.13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20.13</w:t>
            </w:r>
          </w:p>
        </w:tc>
        <w:tc>
          <w:tcPr>
            <w:tcW w:w="1134" w:type="dxa"/>
            <w:vAlign w:val="center"/>
          </w:tcPr>
          <w:p>
            <w:pPr>
              <w:pStyle w:val="12"/>
            </w:pPr>
            <w:r>
              <w:t>20.13</w:t>
            </w:r>
          </w:p>
        </w:tc>
        <w:tc>
          <w:tcPr>
            <w:tcW w:w="1134" w:type="dxa"/>
            <w:vAlign w:val="center"/>
          </w:tcPr>
          <w:p>
            <w:pPr>
              <w:pStyle w:val="12"/>
            </w:pPr>
            <w:r>
              <w:t>20.13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341秦皇岛火车站广场服务中心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1390.25</w:t>
            </w:r>
          </w:p>
        </w:tc>
        <w:tc>
          <w:tcPr>
            <w:tcW w:w="1361" w:type="dxa"/>
            <w:vAlign w:val="center"/>
          </w:tcPr>
          <w:p>
            <w:pPr>
              <w:pStyle w:val="16"/>
            </w:pPr>
            <w:r>
              <w:t>311.25</w:t>
            </w:r>
          </w:p>
        </w:tc>
        <w:tc>
          <w:tcPr>
            <w:tcW w:w="1361" w:type="dxa"/>
            <w:vAlign w:val="center"/>
          </w:tcPr>
          <w:p>
            <w:pPr>
              <w:pStyle w:val="16"/>
            </w:pPr>
            <w:r>
              <w:t>1079.00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25.94</w:t>
            </w:r>
          </w:p>
        </w:tc>
        <w:tc>
          <w:tcPr>
            <w:tcW w:w="1361" w:type="dxa"/>
            <w:vAlign w:val="center"/>
          </w:tcPr>
          <w:p>
            <w:pPr>
              <w:pStyle w:val="12"/>
            </w:pPr>
            <w:r>
              <w:t>25.94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25.94</w:t>
            </w:r>
          </w:p>
        </w:tc>
        <w:tc>
          <w:tcPr>
            <w:tcW w:w="1361" w:type="dxa"/>
            <w:vAlign w:val="center"/>
          </w:tcPr>
          <w:p>
            <w:pPr>
              <w:pStyle w:val="12"/>
            </w:pPr>
            <w:r>
              <w:t>25.94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25.94</w:t>
            </w:r>
          </w:p>
        </w:tc>
        <w:tc>
          <w:tcPr>
            <w:tcW w:w="1361" w:type="dxa"/>
            <w:vAlign w:val="center"/>
          </w:tcPr>
          <w:p>
            <w:pPr>
              <w:pStyle w:val="12"/>
            </w:pPr>
            <w:r>
              <w:t>25.94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15.29</w:t>
            </w:r>
          </w:p>
        </w:tc>
        <w:tc>
          <w:tcPr>
            <w:tcW w:w="1361" w:type="dxa"/>
            <w:vAlign w:val="center"/>
          </w:tcPr>
          <w:p>
            <w:pPr>
              <w:pStyle w:val="12"/>
            </w:pPr>
            <w:r>
              <w:t>15.29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15.29</w:t>
            </w:r>
          </w:p>
        </w:tc>
        <w:tc>
          <w:tcPr>
            <w:tcW w:w="1361" w:type="dxa"/>
            <w:vAlign w:val="center"/>
          </w:tcPr>
          <w:p>
            <w:pPr>
              <w:pStyle w:val="12"/>
            </w:pPr>
            <w:r>
              <w:t>15.29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8.78</w:t>
            </w:r>
          </w:p>
        </w:tc>
        <w:tc>
          <w:tcPr>
            <w:tcW w:w="1361" w:type="dxa"/>
            <w:vAlign w:val="center"/>
          </w:tcPr>
          <w:p>
            <w:pPr>
              <w:pStyle w:val="12"/>
            </w:pPr>
            <w:r>
              <w:t>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6.51</w:t>
            </w:r>
          </w:p>
        </w:tc>
        <w:tc>
          <w:tcPr>
            <w:tcW w:w="1361" w:type="dxa"/>
            <w:vAlign w:val="center"/>
          </w:tcPr>
          <w:p>
            <w:pPr>
              <w:pStyle w:val="12"/>
            </w:pPr>
            <w:r>
              <w:t>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1328.89</w:t>
            </w:r>
          </w:p>
        </w:tc>
        <w:tc>
          <w:tcPr>
            <w:tcW w:w="1361" w:type="dxa"/>
            <w:vAlign w:val="center"/>
          </w:tcPr>
          <w:p>
            <w:pPr>
              <w:pStyle w:val="12"/>
            </w:pPr>
            <w:r>
              <w:t>249.89</w:t>
            </w:r>
          </w:p>
        </w:tc>
        <w:tc>
          <w:tcPr>
            <w:tcW w:w="1361" w:type="dxa"/>
            <w:vAlign w:val="center"/>
          </w:tcPr>
          <w:p>
            <w:pPr>
              <w:pStyle w:val="12"/>
            </w:pPr>
            <w:r>
              <w:t>1079.00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1328.89</w:t>
            </w:r>
          </w:p>
        </w:tc>
        <w:tc>
          <w:tcPr>
            <w:tcW w:w="1361" w:type="dxa"/>
            <w:vAlign w:val="center"/>
          </w:tcPr>
          <w:p>
            <w:pPr>
              <w:pStyle w:val="12"/>
            </w:pPr>
            <w:r>
              <w:t>249.89</w:t>
            </w:r>
          </w:p>
        </w:tc>
        <w:tc>
          <w:tcPr>
            <w:tcW w:w="1361" w:type="dxa"/>
            <w:vAlign w:val="center"/>
          </w:tcPr>
          <w:p>
            <w:pPr>
              <w:pStyle w:val="12"/>
            </w:pPr>
            <w:r>
              <w:t>1079.00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1328.89</w:t>
            </w:r>
          </w:p>
        </w:tc>
        <w:tc>
          <w:tcPr>
            <w:tcW w:w="1361" w:type="dxa"/>
            <w:vAlign w:val="center"/>
          </w:tcPr>
          <w:p>
            <w:pPr>
              <w:pStyle w:val="12"/>
            </w:pPr>
            <w:r>
              <w:t>249.89</w:t>
            </w:r>
          </w:p>
        </w:tc>
        <w:tc>
          <w:tcPr>
            <w:tcW w:w="1361" w:type="dxa"/>
            <w:vAlign w:val="center"/>
          </w:tcPr>
          <w:p>
            <w:pPr>
              <w:pStyle w:val="12"/>
            </w:pPr>
            <w:r>
              <w:t>1079.00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20.13</w:t>
            </w:r>
          </w:p>
        </w:tc>
        <w:tc>
          <w:tcPr>
            <w:tcW w:w="1361" w:type="dxa"/>
            <w:vAlign w:val="center"/>
          </w:tcPr>
          <w:p>
            <w:pPr>
              <w:pStyle w:val="12"/>
            </w:pPr>
            <w:r>
              <w:t>20.13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20.13</w:t>
            </w:r>
          </w:p>
        </w:tc>
        <w:tc>
          <w:tcPr>
            <w:tcW w:w="1361" w:type="dxa"/>
            <w:vAlign w:val="center"/>
          </w:tcPr>
          <w:p>
            <w:pPr>
              <w:pStyle w:val="12"/>
            </w:pPr>
            <w:r>
              <w:t>20.13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20.13</w:t>
            </w:r>
          </w:p>
        </w:tc>
        <w:tc>
          <w:tcPr>
            <w:tcW w:w="1361" w:type="dxa"/>
            <w:vAlign w:val="center"/>
          </w:tcPr>
          <w:p>
            <w:pPr>
              <w:pStyle w:val="12"/>
            </w:pPr>
            <w:r>
              <w:t>20.13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341秦皇岛火车站广场服务中心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1390.25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25.94</w:t>
            </w:r>
          </w:p>
        </w:tc>
        <w:tc>
          <w:tcPr>
            <w:tcW w:w="1474" w:type="dxa"/>
            <w:vAlign w:val="center"/>
          </w:tcPr>
          <w:p>
            <w:pPr>
              <w:pStyle w:val="12"/>
            </w:pPr>
            <w:r>
              <w:t>25.94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15.29</w:t>
            </w:r>
          </w:p>
        </w:tc>
        <w:tc>
          <w:tcPr>
            <w:tcW w:w="1474" w:type="dxa"/>
            <w:vAlign w:val="center"/>
          </w:tcPr>
          <w:p>
            <w:pPr>
              <w:pStyle w:val="12"/>
            </w:pPr>
            <w:r>
              <w:t>15.29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1328.89</w:t>
            </w:r>
          </w:p>
        </w:tc>
        <w:tc>
          <w:tcPr>
            <w:tcW w:w="1474" w:type="dxa"/>
            <w:vAlign w:val="center"/>
          </w:tcPr>
          <w:p>
            <w:pPr>
              <w:pStyle w:val="12"/>
            </w:pPr>
            <w:r>
              <w:t>1328.89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20.13</w:t>
            </w:r>
          </w:p>
        </w:tc>
        <w:tc>
          <w:tcPr>
            <w:tcW w:w="1474" w:type="dxa"/>
            <w:vAlign w:val="center"/>
          </w:tcPr>
          <w:p>
            <w:pPr>
              <w:pStyle w:val="12"/>
            </w:pPr>
            <w:r>
              <w:t>20.13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1390.25</w:t>
            </w:r>
          </w:p>
        </w:tc>
        <w:tc>
          <w:tcPr>
            <w:tcW w:w="3402" w:type="dxa"/>
            <w:vAlign w:val="center"/>
          </w:tcPr>
          <w:p>
            <w:pPr>
              <w:pStyle w:val="15"/>
            </w:pPr>
            <w:r>
              <w:t>本年支出合计</w:t>
            </w:r>
          </w:p>
        </w:tc>
        <w:tc>
          <w:tcPr>
            <w:tcW w:w="1474" w:type="dxa"/>
            <w:vAlign w:val="center"/>
          </w:tcPr>
          <w:p>
            <w:pPr>
              <w:pStyle w:val="16"/>
            </w:pPr>
            <w:r>
              <w:t>1390.25</w:t>
            </w:r>
          </w:p>
        </w:tc>
        <w:tc>
          <w:tcPr>
            <w:tcW w:w="1474" w:type="dxa"/>
            <w:vAlign w:val="center"/>
          </w:tcPr>
          <w:p>
            <w:pPr>
              <w:pStyle w:val="16"/>
            </w:pPr>
            <w:r>
              <w:t>1390.25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1390.25</w:t>
            </w:r>
          </w:p>
        </w:tc>
        <w:tc>
          <w:tcPr>
            <w:tcW w:w="3402" w:type="dxa"/>
            <w:vAlign w:val="center"/>
          </w:tcPr>
          <w:p>
            <w:pPr>
              <w:pStyle w:val="15"/>
            </w:pPr>
            <w:r>
              <w:t>支出总计</w:t>
            </w:r>
          </w:p>
        </w:tc>
        <w:tc>
          <w:tcPr>
            <w:tcW w:w="1474" w:type="dxa"/>
            <w:vAlign w:val="center"/>
          </w:tcPr>
          <w:p>
            <w:pPr>
              <w:pStyle w:val="16"/>
            </w:pPr>
            <w:r>
              <w:t>1390.25</w:t>
            </w:r>
          </w:p>
        </w:tc>
        <w:tc>
          <w:tcPr>
            <w:tcW w:w="1474" w:type="dxa"/>
            <w:vAlign w:val="center"/>
          </w:tcPr>
          <w:p>
            <w:pPr>
              <w:pStyle w:val="16"/>
            </w:pPr>
            <w:r>
              <w:t>1390.25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341秦皇岛火车站广场服务中心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1390.25</w:t>
            </w:r>
          </w:p>
        </w:tc>
        <w:tc>
          <w:tcPr>
            <w:tcW w:w="2551" w:type="dxa"/>
            <w:vAlign w:val="center"/>
          </w:tcPr>
          <w:p>
            <w:pPr>
              <w:pStyle w:val="16"/>
            </w:pPr>
            <w:r>
              <w:t>311.25</w:t>
            </w:r>
          </w:p>
        </w:tc>
        <w:tc>
          <w:tcPr>
            <w:tcW w:w="2551" w:type="dxa"/>
            <w:vAlign w:val="center"/>
          </w:tcPr>
          <w:p>
            <w:pPr>
              <w:pStyle w:val="16"/>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25.94</w:t>
            </w:r>
          </w:p>
        </w:tc>
        <w:tc>
          <w:tcPr>
            <w:tcW w:w="2551" w:type="dxa"/>
            <w:vAlign w:val="center"/>
          </w:tcPr>
          <w:p>
            <w:pPr>
              <w:pStyle w:val="12"/>
            </w:pPr>
            <w:r>
              <w:t>25.94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25.94</w:t>
            </w:r>
          </w:p>
        </w:tc>
        <w:tc>
          <w:tcPr>
            <w:tcW w:w="2551" w:type="dxa"/>
            <w:vAlign w:val="center"/>
          </w:tcPr>
          <w:p>
            <w:pPr>
              <w:pStyle w:val="12"/>
            </w:pPr>
            <w:r>
              <w:t>25.94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25.94</w:t>
            </w:r>
          </w:p>
        </w:tc>
        <w:tc>
          <w:tcPr>
            <w:tcW w:w="2551" w:type="dxa"/>
            <w:vAlign w:val="center"/>
          </w:tcPr>
          <w:p>
            <w:pPr>
              <w:pStyle w:val="12"/>
            </w:pPr>
            <w:r>
              <w:t>25.94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15.29</w:t>
            </w:r>
          </w:p>
        </w:tc>
        <w:tc>
          <w:tcPr>
            <w:tcW w:w="2551" w:type="dxa"/>
            <w:vAlign w:val="center"/>
          </w:tcPr>
          <w:p>
            <w:pPr>
              <w:pStyle w:val="12"/>
            </w:pPr>
            <w:r>
              <w:t>15.29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15.29</w:t>
            </w:r>
          </w:p>
        </w:tc>
        <w:tc>
          <w:tcPr>
            <w:tcW w:w="2551" w:type="dxa"/>
            <w:vAlign w:val="center"/>
          </w:tcPr>
          <w:p>
            <w:pPr>
              <w:pStyle w:val="12"/>
            </w:pPr>
            <w:r>
              <w:t>15.29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8.78</w:t>
            </w:r>
          </w:p>
        </w:tc>
        <w:tc>
          <w:tcPr>
            <w:tcW w:w="2551" w:type="dxa"/>
            <w:vAlign w:val="center"/>
          </w:tcPr>
          <w:p>
            <w:pPr>
              <w:pStyle w:val="12"/>
            </w:pPr>
            <w:r>
              <w:t>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1328.89</w:t>
            </w:r>
          </w:p>
        </w:tc>
        <w:tc>
          <w:tcPr>
            <w:tcW w:w="2551" w:type="dxa"/>
            <w:vAlign w:val="center"/>
          </w:tcPr>
          <w:p>
            <w:pPr>
              <w:pStyle w:val="12"/>
            </w:pPr>
            <w:r>
              <w:t>249.89</w:t>
            </w:r>
          </w:p>
        </w:tc>
        <w:tc>
          <w:tcPr>
            <w:tcW w:w="2551" w:type="dxa"/>
            <w:vAlign w:val="center"/>
          </w:tcPr>
          <w:p>
            <w:pPr>
              <w:pStyle w:val="12"/>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1328.89</w:t>
            </w:r>
          </w:p>
        </w:tc>
        <w:tc>
          <w:tcPr>
            <w:tcW w:w="2551" w:type="dxa"/>
            <w:vAlign w:val="center"/>
          </w:tcPr>
          <w:p>
            <w:pPr>
              <w:pStyle w:val="12"/>
            </w:pPr>
            <w:r>
              <w:t>249.89</w:t>
            </w:r>
          </w:p>
        </w:tc>
        <w:tc>
          <w:tcPr>
            <w:tcW w:w="2551" w:type="dxa"/>
            <w:vAlign w:val="center"/>
          </w:tcPr>
          <w:p>
            <w:pPr>
              <w:pStyle w:val="12"/>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1328.89</w:t>
            </w:r>
          </w:p>
        </w:tc>
        <w:tc>
          <w:tcPr>
            <w:tcW w:w="2551" w:type="dxa"/>
            <w:vAlign w:val="center"/>
          </w:tcPr>
          <w:p>
            <w:pPr>
              <w:pStyle w:val="12"/>
            </w:pPr>
            <w:r>
              <w:t>249.89</w:t>
            </w:r>
          </w:p>
        </w:tc>
        <w:tc>
          <w:tcPr>
            <w:tcW w:w="2551" w:type="dxa"/>
            <w:vAlign w:val="center"/>
          </w:tcPr>
          <w:p>
            <w:pPr>
              <w:pStyle w:val="12"/>
            </w:pPr>
            <w:r>
              <w:t>1079.00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20.13</w:t>
            </w:r>
          </w:p>
        </w:tc>
        <w:tc>
          <w:tcPr>
            <w:tcW w:w="2551" w:type="dxa"/>
            <w:vAlign w:val="center"/>
          </w:tcPr>
          <w:p>
            <w:pPr>
              <w:pStyle w:val="12"/>
            </w:pPr>
            <w:r>
              <w:t>20.13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20.13</w:t>
            </w:r>
          </w:p>
        </w:tc>
        <w:tc>
          <w:tcPr>
            <w:tcW w:w="2551" w:type="dxa"/>
            <w:vAlign w:val="center"/>
          </w:tcPr>
          <w:p>
            <w:pPr>
              <w:pStyle w:val="12"/>
            </w:pPr>
            <w:r>
              <w:t>20.13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20.13</w:t>
            </w:r>
          </w:p>
        </w:tc>
        <w:tc>
          <w:tcPr>
            <w:tcW w:w="2551" w:type="dxa"/>
            <w:vAlign w:val="center"/>
          </w:tcPr>
          <w:p>
            <w:pPr>
              <w:pStyle w:val="12"/>
            </w:pPr>
            <w:r>
              <w:t>20.13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341秦皇岛火车站广场服务中心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311.25</w:t>
            </w:r>
          </w:p>
        </w:tc>
        <w:tc>
          <w:tcPr>
            <w:tcW w:w="2551" w:type="dxa"/>
            <w:vAlign w:val="center"/>
          </w:tcPr>
          <w:p>
            <w:pPr>
              <w:pStyle w:val="16"/>
            </w:pPr>
            <w:r>
              <w:t>253.68</w:t>
            </w:r>
          </w:p>
        </w:tc>
        <w:tc>
          <w:tcPr>
            <w:tcW w:w="2551" w:type="dxa"/>
            <w:vAlign w:val="center"/>
          </w:tcPr>
          <w:p>
            <w:pPr>
              <w:pStyle w:val="16"/>
            </w:pPr>
            <w:r>
              <w:t>57.57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253.68</w:t>
            </w:r>
          </w:p>
        </w:tc>
        <w:tc>
          <w:tcPr>
            <w:tcW w:w="2551" w:type="dxa"/>
            <w:vAlign w:val="center"/>
          </w:tcPr>
          <w:p>
            <w:pPr>
              <w:pStyle w:val="12"/>
            </w:pPr>
            <w:r>
              <w:t>253.68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70.93</w:t>
            </w:r>
          </w:p>
        </w:tc>
        <w:tc>
          <w:tcPr>
            <w:tcW w:w="2551" w:type="dxa"/>
            <w:vAlign w:val="center"/>
          </w:tcPr>
          <w:p>
            <w:pPr>
              <w:pStyle w:val="12"/>
            </w:pPr>
            <w:r>
              <w:t>70.93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14.16</w:t>
            </w:r>
          </w:p>
        </w:tc>
        <w:tc>
          <w:tcPr>
            <w:tcW w:w="2551" w:type="dxa"/>
            <w:vAlign w:val="center"/>
          </w:tcPr>
          <w:p>
            <w:pPr>
              <w:pStyle w:val="12"/>
            </w:pPr>
            <w:r>
              <w:t>14.16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105.65</w:t>
            </w:r>
          </w:p>
        </w:tc>
        <w:tc>
          <w:tcPr>
            <w:tcW w:w="2551" w:type="dxa"/>
            <w:vAlign w:val="center"/>
          </w:tcPr>
          <w:p>
            <w:pPr>
              <w:pStyle w:val="12"/>
            </w:pPr>
            <w:r>
              <w:t>105.65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25.94</w:t>
            </w:r>
          </w:p>
        </w:tc>
        <w:tc>
          <w:tcPr>
            <w:tcW w:w="2551" w:type="dxa"/>
            <w:vAlign w:val="center"/>
          </w:tcPr>
          <w:p>
            <w:pPr>
              <w:pStyle w:val="12"/>
            </w:pPr>
            <w:r>
              <w:t>25.94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8.78</w:t>
            </w:r>
          </w:p>
        </w:tc>
        <w:tc>
          <w:tcPr>
            <w:tcW w:w="2551" w:type="dxa"/>
            <w:vAlign w:val="center"/>
          </w:tcPr>
          <w:p>
            <w:pPr>
              <w:pStyle w:val="12"/>
            </w:pPr>
            <w:r>
              <w:t>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1.58</w:t>
            </w:r>
          </w:p>
        </w:tc>
        <w:tc>
          <w:tcPr>
            <w:tcW w:w="2551" w:type="dxa"/>
            <w:vAlign w:val="center"/>
          </w:tcPr>
          <w:p>
            <w:pPr>
              <w:pStyle w:val="12"/>
            </w:pPr>
            <w:r>
              <w:t>1.58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20.13</w:t>
            </w:r>
          </w:p>
        </w:tc>
        <w:tc>
          <w:tcPr>
            <w:tcW w:w="2551" w:type="dxa"/>
            <w:vAlign w:val="center"/>
          </w:tcPr>
          <w:p>
            <w:pPr>
              <w:pStyle w:val="12"/>
            </w:pPr>
            <w:r>
              <w:t>20.13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57.57</w:t>
            </w:r>
          </w:p>
        </w:tc>
        <w:tc>
          <w:tcPr>
            <w:tcW w:w="2551" w:type="dxa"/>
            <w:vAlign w:val="center"/>
          </w:tcPr>
          <w:p>
            <w:pPr>
              <w:pStyle w:val="12"/>
            </w:pPr>
          </w:p>
        </w:tc>
        <w:tc>
          <w:tcPr>
            <w:tcW w:w="2551" w:type="dxa"/>
            <w:vAlign w:val="center"/>
          </w:tcPr>
          <w:p>
            <w:pPr>
              <w:pStyle w:val="12"/>
            </w:pPr>
            <w:r>
              <w:t>57.57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3.40</w:t>
            </w:r>
          </w:p>
        </w:tc>
        <w:tc>
          <w:tcPr>
            <w:tcW w:w="2551" w:type="dxa"/>
            <w:vAlign w:val="center"/>
          </w:tcPr>
          <w:p>
            <w:pPr>
              <w:pStyle w:val="12"/>
            </w:pPr>
          </w:p>
        </w:tc>
        <w:tc>
          <w:tcPr>
            <w:tcW w:w="2551"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49.52</w:t>
            </w:r>
          </w:p>
        </w:tc>
        <w:tc>
          <w:tcPr>
            <w:tcW w:w="2551" w:type="dxa"/>
            <w:vAlign w:val="center"/>
          </w:tcPr>
          <w:p>
            <w:pPr>
              <w:pStyle w:val="12"/>
            </w:pPr>
          </w:p>
        </w:tc>
        <w:tc>
          <w:tcPr>
            <w:tcW w:w="2551" w:type="dxa"/>
            <w:vAlign w:val="center"/>
          </w:tcPr>
          <w:p>
            <w:pPr>
              <w:pStyle w:val="12"/>
            </w:pPr>
            <w:r>
              <w:t>49.52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2.60</w:t>
            </w:r>
          </w:p>
        </w:tc>
        <w:tc>
          <w:tcPr>
            <w:tcW w:w="2551" w:type="dxa"/>
            <w:vAlign w:val="center"/>
          </w:tcPr>
          <w:p>
            <w:pPr>
              <w:pStyle w:val="12"/>
            </w:pPr>
          </w:p>
        </w:tc>
        <w:tc>
          <w:tcPr>
            <w:tcW w:w="2551" w:type="dxa"/>
            <w:vAlign w:val="center"/>
          </w:tcPr>
          <w:p>
            <w:pPr>
              <w:pStyle w:val="12"/>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1.77</w:t>
            </w:r>
          </w:p>
        </w:tc>
        <w:tc>
          <w:tcPr>
            <w:tcW w:w="2551" w:type="dxa"/>
            <w:vAlign w:val="center"/>
          </w:tcPr>
          <w:p>
            <w:pPr>
              <w:pStyle w:val="12"/>
            </w:pPr>
          </w:p>
        </w:tc>
        <w:tc>
          <w:tcPr>
            <w:tcW w:w="2551" w:type="dxa"/>
            <w:vAlign w:val="center"/>
          </w:tcPr>
          <w:p>
            <w:pPr>
              <w:pStyle w:val="12"/>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0.21</w:t>
            </w:r>
          </w:p>
        </w:tc>
        <w:tc>
          <w:tcPr>
            <w:tcW w:w="2551" w:type="dxa"/>
            <w:vAlign w:val="center"/>
          </w:tcPr>
          <w:p>
            <w:pPr>
              <w:pStyle w:val="12"/>
            </w:pPr>
          </w:p>
        </w:tc>
        <w:tc>
          <w:tcPr>
            <w:tcW w:w="2551" w:type="dxa"/>
            <w:vAlign w:val="center"/>
          </w:tcPr>
          <w:p>
            <w:pPr>
              <w:pStyle w:val="12"/>
            </w:pPr>
            <w:r>
              <w:t>0.21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341秦皇岛火车站广场服务中心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341秦皇岛火车站广场服务中心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341秦皇岛火车站广场服务中心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0.07</w:t>
            </w:r>
          </w:p>
        </w:tc>
        <w:tc>
          <w:tcPr>
            <w:tcW w:w="2381" w:type="dxa"/>
            <w:vAlign w:val="center"/>
          </w:tcPr>
          <w:p>
            <w:pPr>
              <w:pStyle w:val="16"/>
            </w:pPr>
            <w:r>
              <w:t>0.07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秦皇岛火车站广场服务中心2025年部门预算信息公开情况说明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秦皇岛火车站广场服务中心2025年部门预算信息公开情况说明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按照《中华人民共和国预算法》、《地方预决算公开操作规程》和《关于进一步推进预算公开工作的实施意见》规定，现将秦皇岛火车站广场服务中心2025年部门预算公开如下：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1、火车站广场范围内的人员及车辆疏导，停车场收费管理，保证车辆有序排放。</w:t>
      </w:r>
    </w:p>
    <w:p>
      <w:pPr>
        <w:pStyle w:val="18"/>
      </w:pPr>
      <w:r>
        <w:t>2、负责火车站广场范围内的环境卫生、清扫保洁、垃圾清运、建筑物外立面及护栏清洗、公厕保洁等工作。</w:t>
      </w:r>
    </w:p>
    <w:p>
      <w:pPr>
        <w:pStyle w:val="18"/>
      </w:pPr>
      <w:r>
        <w:t>3、火车站广场范围内的电力系统、给水、污水、消防、通风、空调、电梯等设施的维护检修管理等工作。</w:t>
      </w:r>
    </w:p>
    <w:p>
      <w:pPr>
        <w:pStyle w:val="18"/>
      </w:pPr>
      <w:r>
        <w:t>4、负责管理范围内承担铁路、公安、交通、城管等工作职能部门的组织协调，开展相关职能工作；负责区政府交办的其他工作。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秦皇岛火车站广场服务中心本级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按照预算管理有关规定，目前部门预算的编制实行综合预算管理，即全部收入和支出都反映在预算中。秦皇岛火车站广场服务中心机关及所属事业单位的收支包含在部门预算中。</w:t>
      </w:r>
    </w:p>
    <w:p>
      <w:pPr>
        <w:pStyle w:val="19"/>
      </w:pPr>
      <w:r>
        <w:t>1、收入说明</w:t>
      </w:r>
    </w:p>
    <w:p>
      <w:pPr>
        <w:pStyle w:val="19"/>
      </w:pPr>
      <w:r>
        <w:t>反映本部门当年全部收入。2025年预算收入1390.25万元，其中：一般公共预算收入1390.25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火车站广场服务中心年度部门预算中支出预算的总体情况。2025年支出预算1390.25万元，其中基本支出311.25万元，包括人员经费253.68万元和日常公用经费57.57万元；项目支出1079.00万元，主要为站前广场治安、志愿者等政府购买服务（RY）595万元，站前广场运转及维护经费450万元，暑期春运公安干警安保经费34万元。</w:t>
      </w:r>
    </w:p>
    <w:p>
      <w:pPr>
        <w:pStyle w:val="19"/>
      </w:pPr>
      <w:r>
        <w:t>3、比上年增减情况</w:t>
      </w:r>
    </w:p>
    <w:p>
      <w:pPr>
        <w:pStyle w:val="19"/>
      </w:pPr>
      <w:r>
        <w:t>2025年预算收支安排1390.25万元，较2024年预算减少197.46万元，其中：基本支出减少42.46万元，主要为人员经费减少41.11万元，日常公用经费减少1.35万元。项目支出减少155.00万元，主要为站前广场治安、志愿者等政府购买服务（RY）减少105万元，站前广场运转及维护经费减少50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2025年，我部门机关运行经费共计安排57.57万元，主要用于日常维修、办公用房水电费、办公用房取暖费、办公用房物业管理费等日常运行支出。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0.07万元，其中因公出国（境）费0.00万元；公务用车购置及运维费0.00万元（其中：公务用车购置费为0.00万元，公务用车运维费0.00万元)；公务接待费0.07万元。与2024年相比增加</w:t>
      </w:r>
      <w:r>
        <w:rPr>
          <w:rFonts w:hint="eastAsia"/>
          <w:lang w:eastAsia="zh-CN"/>
        </w:rPr>
        <w:t>减少</w:t>
      </w:r>
      <w:bookmarkStart w:id="20" w:name="_GoBack"/>
      <w:bookmarkEnd w:id="20"/>
      <w:r>
        <w:t>0.0</w:t>
      </w:r>
      <w:r>
        <w:rPr>
          <w:rFonts w:hint="eastAsia"/>
          <w:lang w:val="en-US" w:eastAsia="zh-CN"/>
        </w:rPr>
        <w:t>8</w:t>
      </w:r>
      <w:r>
        <w:t>万元，增减变化的主要原因是2025年公务接待费预算</w:t>
      </w:r>
      <w:r>
        <w:rPr>
          <w:rFonts w:hint="eastAsia"/>
          <w:lang w:eastAsia="zh-CN"/>
        </w:rPr>
        <w:t>减少</w:t>
      </w:r>
      <w:r>
        <w:t>0.0</w:t>
      </w:r>
      <w:r>
        <w:rPr>
          <w:rFonts w:hint="eastAsia"/>
          <w:lang w:val="en-US" w:eastAsia="zh-CN"/>
        </w:rPr>
        <w:t>8</w:t>
      </w:r>
      <w:r>
        <w:t>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火车站广场范围内的人员及车辆疏导，停车场收费管理，保证车辆有序排放；火车站广场范围内的环境卫生、清扫保洁、垃圾清运、建筑物外立面及护栏清洗、公厕保洁等工作；保障火车站广场电力系统、给水、污水、消防、通风、空调、电梯等设施正常运转;管理范围内承担铁路、公安、交通、城管等工作职能部门的组织协调，开展相关职能工作;负责区政府交办的其他工作。本单位严格按照强化绩效管理理念的要求，在保障基本运转的前提下，大力倡导厉行节约，发挥财政资金效益最大化。完善部门预算绩效管理制度、财政资金使用管理办法、工作保障制度等，为全年预算绩效目标的实现奠定制度基础。加强支出管理。优化支出结构，编细编实部门预算，规范采购流程，提高资金使用效率，确保支出进度达标。规范财务资产管理。完善部门内部财务管理制度，严格审批程序，加强固定资产登记、使用和报废处置管理，做到支出合理，物尽其用。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一、火车站广场综合管理</w:t>
      </w:r>
    </w:p>
    <w:p>
      <w:pPr>
        <w:pStyle w:val="23"/>
      </w:pPr>
    </w:p>
    <w:p>
      <w:pPr>
        <w:pStyle w:val="23"/>
      </w:pPr>
    </w:p>
    <w:p>
      <w:pPr>
        <w:pStyle w:val="23"/>
      </w:pPr>
      <w:r>
        <w:t>1.绩效目标：停车场管理有序</w:t>
      </w:r>
    </w:p>
    <w:p>
      <w:pPr>
        <w:pStyle w:val="23"/>
      </w:pPr>
      <w:r>
        <w:t>绩效指标：车辆人员疏导及时率</w:t>
      </w:r>
    </w:p>
    <w:p>
      <w:pPr>
        <w:pStyle w:val="23"/>
      </w:pPr>
    </w:p>
    <w:p>
      <w:pPr>
        <w:pStyle w:val="23"/>
      </w:pPr>
      <w:r>
        <w:t>2.绩效目标：火车站广场设施正常运转</w:t>
      </w:r>
    </w:p>
    <w:p>
      <w:pPr>
        <w:pStyle w:val="23"/>
      </w:pPr>
      <w:r>
        <w:t>绩效指标：维修工程完工及时率</w:t>
      </w:r>
    </w:p>
    <w:p>
      <w:pPr>
        <w:pStyle w:val="23"/>
      </w:pPr>
    </w:p>
    <w:p>
      <w:pPr>
        <w:pStyle w:val="23"/>
      </w:pPr>
      <w:r>
        <w:t>3.绩效目标：火车站广场卫生状况良好</w:t>
      </w:r>
    </w:p>
    <w:p>
      <w:pPr>
        <w:pStyle w:val="23"/>
      </w:pPr>
      <w:r>
        <w:t>绩效指标：卫生清扫及时率</w:t>
      </w:r>
    </w:p>
    <w:p>
      <w:pPr>
        <w:pStyle w:val="23"/>
      </w:pPr>
    </w:p>
    <w:p>
      <w:pPr>
        <w:pStyle w:val="23"/>
      </w:pPr>
    </w:p>
    <w:p>
      <w:pPr>
        <w:pStyle w:val="23"/>
      </w:pPr>
    </w:p>
    <w:p>
      <w:pPr>
        <w:pStyle w:val="23"/>
      </w:pPr>
      <w:r>
        <w:t>二、执勤武警提供保障</w:t>
      </w:r>
    </w:p>
    <w:p>
      <w:pPr>
        <w:pStyle w:val="23"/>
      </w:pPr>
    </w:p>
    <w:p>
      <w:pPr>
        <w:pStyle w:val="23"/>
      </w:pPr>
      <w:r>
        <w:t>1、绩效目标：创造良好治安环境</w:t>
      </w:r>
    </w:p>
    <w:p>
      <w:pPr>
        <w:pStyle w:val="23"/>
      </w:pPr>
      <w:r>
        <w:t>绩效指标：处理突发事件及时性</w:t>
      </w:r>
    </w:p>
    <w:p>
      <w:pPr>
        <w:pStyle w:val="23"/>
      </w:pPr>
    </w:p>
    <w:p>
      <w:pPr>
        <w:pStyle w:val="23"/>
      </w:pPr>
      <w:r>
        <w:t>2. 绩效目标：保障进出站旅客安全</w:t>
      </w:r>
    </w:p>
    <w:p>
      <w:pPr>
        <w:pStyle w:val="23"/>
      </w:pPr>
      <w:r>
        <w:t>绩效指标：巡逻警力覆盖率</w:t>
      </w:r>
    </w:p>
    <w:p>
      <w:pPr>
        <w:pStyle w:val="23"/>
      </w:pPr>
    </w:p>
    <w:p>
      <w:pPr>
        <w:pStyle w:val="23"/>
      </w:pPr>
      <w:r>
        <w:t>3. 绩效目标：后勤保障及时</w:t>
      </w:r>
    </w:p>
    <w:p>
      <w:pPr>
        <w:pStyle w:val="23"/>
      </w:pPr>
      <w:r>
        <w:t>绩效指标：执勤安保人员数量</w:t>
      </w:r>
    </w:p>
    <w:p>
      <w:pPr>
        <w:pStyle w:val="23"/>
      </w:pPr>
    </w:p>
    <w:p>
      <w:pPr>
        <w:pStyle w:val="23"/>
      </w:pPr>
    </w:p>
    <w:p>
      <w:pPr>
        <w:pStyle w:val="23"/>
      </w:pPr>
    </w:p>
    <w:p>
      <w:pPr>
        <w:pStyle w:val="23"/>
      </w:pPr>
      <w:r>
        <w:t>三、火车站广场保障服务</w:t>
      </w:r>
    </w:p>
    <w:p>
      <w:pPr>
        <w:pStyle w:val="23"/>
      </w:pPr>
    </w:p>
    <w:p>
      <w:pPr>
        <w:pStyle w:val="23"/>
      </w:pPr>
    </w:p>
    <w:p>
      <w:pPr>
        <w:pStyle w:val="23"/>
      </w:pPr>
      <w:r>
        <w:t>1.绩效目标：为出行旅客提供帮助</w:t>
      </w:r>
    </w:p>
    <w:p>
      <w:pPr>
        <w:pStyle w:val="23"/>
      </w:pPr>
      <w:r>
        <w:t>绩效指标：保障服务人数</w:t>
      </w:r>
    </w:p>
    <w:p>
      <w:pPr>
        <w:pStyle w:val="23"/>
      </w:pPr>
    </w:p>
    <w:p>
      <w:pPr>
        <w:pStyle w:val="23"/>
      </w:pPr>
      <w:r>
        <w:t>2.绩效目标：维护火车站广场秩序</w:t>
      </w:r>
    </w:p>
    <w:p>
      <w:pPr>
        <w:pStyle w:val="23"/>
      </w:pPr>
      <w:r>
        <w:t>绩效指标：按照要求进行服务</w:t>
      </w:r>
    </w:p>
    <w:p>
      <w:pPr>
        <w:pStyle w:val="23"/>
      </w:pPr>
    </w:p>
    <w:p>
      <w:pPr>
        <w:pStyle w:val="23"/>
      </w:pPr>
      <w:r>
        <w:t>3.绩效目标：为进出站旅客提供服务</w:t>
      </w:r>
    </w:p>
    <w:p>
      <w:pPr>
        <w:pStyle w:val="23"/>
      </w:pPr>
      <w:r>
        <w:t>绩效指标：为进出站旅客提供保障服务</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p>
    <w:p>
      <w:pPr>
        <w:pStyle w:val="24"/>
      </w:pPr>
      <w:r>
        <w:t>制定完善部门预算绩效管理制度、财政资金使用管理办法、工作保障制度等，为全年预算绩效目标的实现奠定制度基础。</w:t>
      </w:r>
    </w:p>
    <w:p>
      <w:pPr>
        <w:pStyle w:val="24"/>
      </w:pPr>
    </w:p>
    <w:p>
      <w:pPr>
        <w:pStyle w:val="24"/>
      </w:pPr>
      <w:r>
        <w:t>二、加强支出管理</w:t>
      </w:r>
    </w:p>
    <w:p>
      <w:pPr>
        <w:pStyle w:val="24"/>
      </w:pPr>
    </w:p>
    <w:p>
      <w:pPr>
        <w:pStyle w:val="24"/>
      </w:pPr>
      <w:r>
        <w:t>1.财务付款是指我单位发生的因公借款、经费报销等事项所发生的支出。</w:t>
      </w:r>
    </w:p>
    <w:p>
      <w:pPr>
        <w:pStyle w:val="24"/>
      </w:pPr>
    </w:p>
    <w:p>
      <w:pPr>
        <w:pStyle w:val="24"/>
      </w:pPr>
      <w:r>
        <w:t>2、财务付款签字坚持“副职分管、正职监管、集体领导、民主决策”的工作机制。</w:t>
      </w:r>
    </w:p>
    <w:p>
      <w:pPr>
        <w:pStyle w:val="24"/>
      </w:pPr>
    </w:p>
    <w:p>
      <w:pPr>
        <w:pStyle w:val="24"/>
      </w:pPr>
      <w:r>
        <w:t>3、所有涉及付款的票据须由经办人据实填制，并经部门负责人、主管领导签字审核，对因公借款、经费报销等事项负责,财务负责人稽核后，报主管财务的领导审批，到财务办理付款手续。经办人及领导签字审批应附落款时间。</w:t>
      </w:r>
    </w:p>
    <w:p>
      <w:pPr>
        <w:pStyle w:val="24"/>
      </w:pPr>
    </w:p>
    <w:p>
      <w:pPr>
        <w:pStyle w:val="24"/>
      </w:pPr>
      <w:r>
        <w:t>4付款金额在三万元及以上的票据须经单位党组会集体研究决定，并由主管财务的领导签字。</w:t>
      </w:r>
    </w:p>
    <w:p>
      <w:pPr>
        <w:pStyle w:val="24"/>
      </w:pPr>
    </w:p>
    <w:p>
      <w:pPr>
        <w:pStyle w:val="24"/>
      </w:pPr>
      <w:r>
        <w:t>三、加强绩效运行监控</w:t>
      </w:r>
    </w:p>
    <w:p>
      <w:pPr>
        <w:pStyle w:val="24"/>
      </w:pPr>
    </w:p>
    <w:p>
      <w:pPr>
        <w:pStyle w:val="24"/>
      </w:pPr>
      <w:r>
        <w:t>开展部门预算绩效运行监控，发现问题及时采取措施，确保绩效目标如期保质实现。</w:t>
      </w:r>
    </w:p>
    <w:p>
      <w:pPr>
        <w:pStyle w:val="24"/>
      </w:pPr>
    </w:p>
    <w:p>
      <w:pPr>
        <w:pStyle w:val="24"/>
      </w:pPr>
      <w:r>
        <w:t>四、做好绩效自评</w:t>
      </w:r>
    </w:p>
    <w:p>
      <w:pPr>
        <w:pStyle w:val="24"/>
      </w:pPr>
    </w:p>
    <w:p>
      <w:pPr>
        <w:pStyle w:val="24"/>
      </w:pPr>
      <w:r>
        <w:t>按要求开展上年度部门预算绩效自评和重点评价工作，对评价中发现的问题及时整改，调整优化支出结构，提高财政资金使用效益。</w:t>
      </w:r>
    </w:p>
    <w:p>
      <w:pPr>
        <w:pStyle w:val="24"/>
      </w:pPr>
    </w:p>
    <w:p>
      <w:pPr>
        <w:pStyle w:val="24"/>
      </w:pPr>
      <w:r>
        <w:t>五、规范财务资产管理</w:t>
      </w:r>
    </w:p>
    <w:p>
      <w:pPr>
        <w:pStyle w:val="24"/>
      </w:pPr>
    </w:p>
    <w:p>
      <w:pPr>
        <w:pStyle w:val="24"/>
      </w:pPr>
      <w:r>
        <w:t>单位价值在1000元以上，使用期限在一年以上，并且使用过程中基本保持原有物质形态的资产；或单位价值虽未达到规定标准，但耐用时间在一年以上的大批同类物资，作为固定资产管理。</w:t>
      </w:r>
    </w:p>
    <w:p>
      <w:pPr>
        <w:pStyle w:val="24"/>
      </w:pPr>
    </w:p>
    <w:p>
      <w:pPr>
        <w:pStyle w:val="24"/>
      </w:pPr>
      <w:r>
        <w:t>固定资产由行政科专人管理，定期进行资产清查，做到账实、账卡、账账相符。对清查盘点中发现的问题，应及时查明原因，说明情况，防止国有资产流失。</w:t>
      </w:r>
    </w:p>
    <w:p>
      <w:pPr>
        <w:pStyle w:val="24"/>
      </w:pPr>
    </w:p>
    <w:p>
      <w:pPr>
        <w:pStyle w:val="24"/>
      </w:pPr>
      <w:r>
        <w:t>固定资产管理责任落实到人，保管使用人不得随意处置资产，更换资产使用部门。如根据工作需要确需更换部门，应到行政科进行资产部门变更登记。</w:t>
      </w:r>
    </w:p>
    <w:p>
      <w:pPr>
        <w:pStyle w:val="24"/>
      </w:pPr>
    </w:p>
    <w:p>
      <w:pPr>
        <w:pStyle w:val="24"/>
      </w:pPr>
      <w:r>
        <w:t>固定资产的处置由行政科专人负责，使用部门及使用人不得随意处置。对擅自占有、使用、处置资产的人员，依照规定进行处罚。</w:t>
      </w:r>
    </w:p>
    <w:p>
      <w:pPr>
        <w:pStyle w:val="24"/>
      </w:pPr>
    </w:p>
    <w:p>
      <w:pPr>
        <w:pStyle w:val="24"/>
      </w:pPr>
      <w:r>
        <w:t>六、加强内部监督</w:t>
      </w:r>
    </w:p>
    <w:p>
      <w:pPr>
        <w:pStyle w:val="24"/>
      </w:pPr>
    </w:p>
    <w:p>
      <w:pPr>
        <w:pStyle w:val="24"/>
      </w:pPr>
      <w:r>
        <w:t>1、负责根据单位实际情况，针对外部监管要求及管理层需求，编制《内部控制评价方案》。</w:t>
      </w:r>
    </w:p>
    <w:p>
      <w:pPr>
        <w:pStyle w:val="24"/>
      </w:pPr>
    </w:p>
    <w:p>
      <w:pPr>
        <w:pStyle w:val="24"/>
      </w:pPr>
      <w:r>
        <w:t>2、负责成立评价小组，小组成员具备相应资格及业务能力。</w:t>
      </w:r>
    </w:p>
    <w:p>
      <w:pPr>
        <w:pStyle w:val="24"/>
      </w:pPr>
    </w:p>
    <w:p>
      <w:pPr>
        <w:pStyle w:val="24"/>
      </w:pPr>
      <w:r>
        <w:t>3、下发内部控制自我评价工作通知。</w:t>
      </w:r>
    </w:p>
    <w:p>
      <w:pPr>
        <w:pStyle w:val="24"/>
      </w:pPr>
    </w:p>
    <w:p>
      <w:pPr>
        <w:pStyle w:val="24"/>
      </w:pPr>
      <w:r>
        <w:t>4、负责对相关科室的人员进行必要的培训。</w:t>
      </w:r>
    </w:p>
    <w:p>
      <w:pPr>
        <w:pStyle w:val="24"/>
      </w:pPr>
    </w:p>
    <w:p>
      <w:pPr>
        <w:pStyle w:val="24"/>
      </w:pPr>
      <w:r>
        <w:t>5、负责指导各科室进行内部控制自我评价。</w:t>
      </w:r>
    </w:p>
    <w:p>
      <w:pPr>
        <w:pStyle w:val="24"/>
      </w:pPr>
    </w:p>
    <w:p>
      <w:pPr>
        <w:pStyle w:val="24"/>
      </w:pPr>
      <w:r>
        <w:t>6、负责对各科室的内部控制自我评价进行检查。</w:t>
      </w:r>
    </w:p>
    <w:p>
      <w:pPr>
        <w:pStyle w:val="24"/>
      </w:pPr>
    </w:p>
    <w:p>
      <w:pPr>
        <w:pStyle w:val="24"/>
      </w:pPr>
      <w:r>
        <w:t>七、加强宣传培训调研等</w:t>
      </w:r>
    </w:p>
    <w:p>
      <w:pPr>
        <w:pStyle w:val="24"/>
      </w:pPr>
      <w:r>
        <w:t>加强本部门人员培训，提高职工业务素质；加强调研，提出优化财政资金配置、提高资金使用效益的意见意见；加大宣传力度，强化预算绩效管理意识，促进预算绩效管理水平进一步提升。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1、暑期春运公安干警安保经费绩效目标表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13030225P00016110015F</w:t>
            </w:r>
          </w:p>
        </w:tc>
        <w:tc>
          <w:tcPr>
            <w:tcW w:w="2835" w:type="dxa"/>
            <w:vAlign w:val="center"/>
          </w:tcPr>
          <w:p>
            <w:pPr>
              <w:pStyle w:val="11"/>
            </w:pPr>
            <w:r>
              <w:t>项目名称</w:t>
            </w:r>
          </w:p>
        </w:tc>
        <w:tc>
          <w:tcPr>
            <w:tcW w:w="6095" w:type="dxa"/>
            <w:gridSpan w:val="3"/>
            <w:vAlign w:val="center"/>
          </w:tcPr>
          <w:p>
            <w:pPr>
              <w:pStyle w:val="13"/>
            </w:pPr>
            <w:r>
              <w:t>暑期春运公安干警安保经费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w:t>
            </w:r>
          </w:p>
        </w:tc>
        <w:tc>
          <w:tcPr>
            <w:tcW w:w="2835" w:type="dxa"/>
            <w:vAlign w:val="center"/>
          </w:tcPr>
          <w:p>
            <w:pPr>
              <w:pStyle w:val="11"/>
            </w:pPr>
            <w:r>
              <w:t>其中：财政    资金</w:t>
            </w:r>
          </w:p>
        </w:tc>
        <w:tc>
          <w:tcPr>
            <w:tcW w:w="2551" w:type="dxa"/>
            <w:vAlign w:val="center"/>
          </w:tcPr>
          <w:p>
            <w:pPr>
              <w:pStyle w:val="13"/>
            </w:pPr>
            <w:r>
              <w:t>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维护火车站广场秩序，保障进出站旅客安全，为执勤人员提供后勤保障。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1.为武警官兵、巡特警、公安干警提供食宿等后勤保障。</w:t>
            </w:r>
          </w:p>
          <w:p>
            <w:pPr>
              <w:pStyle w:val="13"/>
            </w:pPr>
            <w:r>
              <w:t>2.为旅客出行提供良好的治安环境。</w:t>
            </w:r>
          </w:p>
          <w:p>
            <w:pPr>
              <w:pStyle w:val="13"/>
            </w:pPr>
            <w:r>
              <w:t>3.配置60名执勤安保人员进行常态化巡防，维护火车站广场秩序，确保进出站旅客安全。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执勤安保人员数量</w:t>
            </w:r>
          </w:p>
        </w:tc>
        <w:tc>
          <w:tcPr>
            <w:tcW w:w="5386" w:type="dxa"/>
            <w:vAlign w:val="center"/>
          </w:tcPr>
          <w:p>
            <w:pPr>
              <w:pStyle w:val="13"/>
            </w:pPr>
            <w:r>
              <w:t>火车站广场执勤安保人员常态化数量</w:t>
            </w:r>
          </w:p>
          <w:p>
            <w:pPr>
              <w:pStyle w:val="13"/>
            </w:pPr>
          </w:p>
        </w:tc>
        <w:tc>
          <w:tcPr>
            <w:tcW w:w="2268" w:type="dxa"/>
            <w:vAlign w:val="center"/>
          </w:tcPr>
          <w:p>
            <w:pPr>
              <w:pStyle w:val="13"/>
            </w:pPr>
            <w:r>
              <w:t>≥60人</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对整个火车站广场，巡查警力覆盖率</w:t>
            </w:r>
          </w:p>
          <w:p>
            <w:pPr>
              <w:pStyle w:val="13"/>
            </w:pPr>
          </w:p>
        </w:tc>
        <w:tc>
          <w:tcPr>
            <w:tcW w:w="5386" w:type="dxa"/>
            <w:vAlign w:val="center"/>
          </w:tcPr>
          <w:p>
            <w:pPr>
              <w:pStyle w:val="13"/>
            </w:pPr>
            <w:r>
              <w:t>对整个火车站广场，巡查警力覆盖率</w:t>
            </w:r>
          </w:p>
          <w:p>
            <w:pPr>
              <w:pStyle w:val="13"/>
            </w:pP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安保经费发放准确率</w:t>
            </w:r>
          </w:p>
          <w:p>
            <w:pPr>
              <w:pStyle w:val="13"/>
            </w:pPr>
          </w:p>
        </w:tc>
        <w:tc>
          <w:tcPr>
            <w:tcW w:w="5386" w:type="dxa"/>
            <w:vAlign w:val="center"/>
          </w:tcPr>
          <w:p>
            <w:pPr>
              <w:pStyle w:val="13"/>
            </w:pPr>
            <w:r>
              <w:t>安保经费发放准确率</w:t>
            </w:r>
          </w:p>
          <w:p>
            <w:pPr>
              <w:pStyle w:val="13"/>
            </w:pP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处理突发事件及时率</w:t>
            </w:r>
          </w:p>
          <w:p>
            <w:pPr>
              <w:pStyle w:val="13"/>
            </w:pPr>
          </w:p>
        </w:tc>
        <w:tc>
          <w:tcPr>
            <w:tcW w:w="5386" w:type="dxa"/>
            <w:vAlign w:val="center"/>
          </w:tcPr>
          <w:p>
            <w:pPr>
              <w:pStyle w:val="13"/>
            </w:pPr>
            <w:r>
              <w:t>处理突发事件及时率</w:t>
            </w:r>
          </w:p>
          <w:p>
            <w:pPr>
              <w:pStyle w:val="13"/>
            </w:pP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p>
            <w:pPr>
              <w:pStyle w:val="13"/>
            </w:pPr>
          </w:p>
        </w:tc>
        <w:tc>
          <w:tcPr>
            <w:tcW w:w="5386" w:type="dxa"/>
            <w:vAlign w:val="center"/>
          </w:tcPr>
          <w:p>
            <w:pPr>
              <w:pStyle w:val="13"/>
            </w:pPr>
            <w:r>
              <w:t>在预算范围内合理安排使用</w:t>
            </w:r>
          </w:p>
          <w:p>
            <w:pPr>
              <w:pStyle w:val="13"/>
            </w:pPr>
          </w:p>
        </w:tc>
        <w:tc>
          <w:tcPr>
            <w:tcW w:w="2268" w:type="dxa"/>
            <w:vAlign w:val="center"/>
          </w:tcPr>
          <w:p>
            <w:pPr>
              <w:pStyle w:val="13"/>
            </w:pPr>
            <w:r>
              <w:t>≤34万元</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全面提升城市窗口形象</w:t>
            </w:r>
          </w:p>
        </w:tc>
        <w:tc>
          <w:tcPr>
            <w:tcW w:w="5386" w:type="dxa"/>
            <w:vAlign w:val="center"/>
          </w:tcPr>
          <w:p>
            <w:pPr>
              <w:pStyle w:val="13"/>
            </w:pPr>
            <w:r>
              <w:t>全面提升城市窗口形象</w:t>
            </w:r>
          </w:p>
        </w:tc>
        <w:tc>
          <w:tcPr>
            <w:tcW w:w="2268" w:type="dxa"/>
            <w:vAlign w:val="center"/>
          </w:tcPr>
          <w:p>
            <w:pPr>
              <w:pStyle w:val="13"/>
            </w:pPr>
            <w:r>
              <w:t>比上年提升</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为旅客出行提供良好的治安环境</w:t>
            </w:r>
          </w:p>
        </w:tc>
        <w:tc>
          <w:tcPr>
            <w:tcW w:w="5386" w:type="dxa"/>
            <w:vAlign w:val="center"/>
          </w:tcPr>
          <w:p>
            <w:pPr>
              <w:pStyle w:val="13"/>
            </w:pPr>
            <w:r>
              <w:t>为旅客出行提供良好的治安环境</w:t>
            </w:r>
          </w:p>
        </w:tc>
        <w:tc>
          <w:tcPr>
            <w:tcW w:w="2268" w:type="dxa"/>
            <w:vAlign w:val="center"/>
          </w:tcPr>
          <w:p>
            <w:pPr>
              <w:pStyle w:val="13"/>
            </w:pPr>
            <w:r>
              <w:t>比上年提升</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公众安全感指数提升</w:t>
            </w:r>
          </w:p>
        </w:tc>
        <w:tc>
          <w:tcPr>
            <w:tcW w:w="5386" w:type="dxa"/>
            <w:vAlign w:val="center"/>
          </w:tcPr>
          <w:p>
            <w:pPr>
              <w:pStyle w:val="13"/>
            </w:pPr>
            <w:r>
              <w:t>公众安全感指数提升</w:t>
            </w:r>
          </w:p>
        </w:tc>
        <w:tc>
          <w:tcPr>
            <w:tcW w:w="2268" w:type="dxa"/>
            <w:vAlign w:val="center"/>
          </w:tcPr>
          <w:p>
            <w:pPr>
              <w:pStyle w:val="13"/>
            </w:pPr>
            <w:r>
              <w:t>比上年提升</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旅客满意度</w:t>
            </w:r>
          </w:p>
        </w:tc>
        <w:tc>
          <w:tcPr>
            <w:tcW w:w="5386" w:type="dxa"/>
            <w:vAlign w:val="center"/>
          </w:tcPr>
          <w:p>
            <w:pPr>
              <w:pStyle w:val="13"/>
            </w:pPr>
            <w:r>
              <w:t>旅客对火车站安全的满意度</w:t>
            </w:r>
          </w:p>
          <w:p>
            <w:pPr>
              <w:pStyle w:val="13"/>
            </w:pPr>
          </w:p>
        </w:tc>
        <w:tc>
          <w:tcPr>
            <w:tcW w:w="2268" w:type="dxa"/>
            <w:vAlign w:val="center"/>
          </w:tcPr>
          <w:p>
            <w:pPr>
              <w:pStyle w:val="13"/>
            </w:pPr>
            <w:r>
              <w:t>≥90%</w:t>
            </w:r>
          </w:p>
        </w:tc>
        <w:tc>
          <w:tcPr>
            <w:tcW w:w="1276" w:type="dxa"/>
            <w:vAlign w:val="center"/>
          </w:tcPr>
          <w:p>
            <w:pPr>
              <w:pStyle w:val="13"/>
            </w:pPr>
            <w:r>
              <w:t>年度工作计划</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2、站前广场运转及维护经费绩效目标表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13030225P000161100163</w:t>
            </w:r>
          </w:p>
        </w:tc>
        <w:tc>
          <w:tcPr>
            <w:tcW w:w="2835" w:type="dxa"/>
            <w:vAlign w:val="center"/>
          </w:tcPr>
          <w:p>
            <w:pPr>
              <w:pStyle w:val="11"/>
            </w:pPr>
            <w:r>
              <w:t>项目名称</w:t>
            </w:r>
          </w:p>
        </w:tc>
        <w:tc>
          <w:tcPr>
            <w:tcW w:w="6095" w:type="dxa"/>
            <w:gridSpan w:val="3"/>
            <w:vAlign w:val="center"/>
          </w:tcPr>
          <w:p>
            <w:pPr>
              <w:pStyle w:val="13"/>
            </w:pPr>
            <w:r>
              <w:t>站前广场运转及维护经费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w:t>
            </w:r>
          </w:p>
        </w:tc>
        <w:tc>
          <w:tcPr>
            <w:tcW w:w="2835" w:type="dxa"/>
            <w:vAlign w:val="center"/>
          </w:tcPr>
          <w:p>
            <w:pPr>
              <w:pStyle w:val="11"/>
            </w:pPr>
            <w:r>
              <w:t>其中：财政    资金</w:t>
            </w:r>
          </w:p>
        </w:tc>
        <w:tc>
          <w:tcPr>
            <w:tcW w:w="2551" w:type="dxa"/>
            <w:vAlign w:val="center"/>
          </w:tcPr>
          <w:p>
            <w:pPr>
              <w:pStyle w:val="13"/>
            </w:pPr>
            <w:r>
              <w:t>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保障火车站广场各项设施正常运转，为旅客出行提供舒适的环境。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1.保障火车站广场设施正常运转。</w:t>
            </w:r>
          </w:p>
          <w:p>
            <w:pPr>
              <w:pStyle w:val="13"/>
            </w:pPr>
            <w:r>
              <w:t>2.保障火车站广场干净整洁。</w:t>
            </w:r>
          </w:p>
          <w:p>
            <w:pPr>
              <w:pStyle w:val="13"/>
            </w:pPr>
            <w:r>
              <w:t>3.保障火车站广场范围内的车辆及人员及时疏导。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火车站广场需保洁面积</w:t>
            </w:r>
          </w:p>
        </w:tc>
        <w:tc>
          <w:tcPr>
            <w:tcW w:w="5386" w:type="dxa"/>
            <w:vAlign w:val="center"/>
          </w:tcPr>
          <w:p>
            <w:pPr>
              <w:pStyle w:val="13"/>
            </w:pPr>
            <w:r>
              <w:t>火车站广场需保洁面积</w:t>
            </w:r>
          </w:p>
        </w:tc>
        <w:tc>
          <w:tcPr>
            <w:tcW w:w="2268" w:type="dxa"/>
            <w:vAlign w:val="center"/>
          </w:tcPr>
          <w:p>
            <w:pPr>
              <w:pStyle w:val="13"/>
            </w:pPr>
            <w:r>
              <w:t>≥39000平米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维修工程验收合格率</w:t>
            </w:r>
          </w:p>
        </w:tc>
        <w:tc>
          <w:tcPr>
            <w:tcW w:w="5386" w:type="dxa"/>
            <w:vAlign w:val="center"/>
          </w:tcPr>
          <w:p>
            <w:pPr>
              <w:pStyle w:val="13"/>
            </w:pPr>
            <w:r>
              <w:t>维修工程验收合格率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维修工程完工及时率</w:t>
            </w:r>
          </w:p>
        </w:tc>
        <w:tc>
          <w:tcPr>
            <w:tcW w:w="5386" w:type="dxa"/>
            <w:vAlign w:val="center"/>
          </w:tcPr>
          <w:p>
            <w:pPr>
              <w:pStyle w:val="13"/>
            </w:pPr>
            <w:r>
              <w:t>维修工程完工及时率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在预算范围内合理安排使用</w:t>
            </w:r>
          </w:p>
        </w:tc>
        <w:tc>
          <w:tcPr>
            <w:tcW w:w="2268" w:type="dxa"/>
            <w:vAlign w:val="center"/>
          </w:tcPr>
          <w:p>
            <w:pPr>
              <w:pStyle w:val="13"/>
            </w:pPr>
            <w:r>
              <w:t>≤450万元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保障火车站广场设施正常运转</w:t>
            </w:r>
          </w:p>
        </w:tc>
        <w:tc>
          <w:tcPr>
            <w:tcW w:w="5386" w:type="dxa"/>
            <w:vAlign w:val="center"/>
          </w:tcPr>
          <w:p>
            <w:pPr>
              <w:pStyle w:val="13"/>
            </w:pPr>
            <w:r>
              <w:t>保障火车站广场设施正常运转</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为旅客出行提供良好的卫生环境</w:t>
            </w:r>
          </w:p>
        </w:tc>
        <w:tc>
          <w:tcPr>
            <w:tcW w:w="5386" w:type="dxa"/>
            <w:vAlign w:val="center"/>
          </w:tcPr>
          <w:p>
            <w:pPr>
              <w:pStyle w:val="13"/>
            </w:pPr>
            <w:r>
              <w:t>为旅客出行提供良好的卫生环境</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火车站出行旅客满意度</w:t>
            </w:r>
          </w:p>
        </w:tc>
        <w:tc>
          <w:tcPr>
            <w:tcW w:w="5386" w:type="dxa"/>
            <w:vAlign w:val="center"/>
          </w:tcPr>
          <w:p>
            <w:pPr>
              <w:pStyle w:val="13"/>
            </w:pPr>
            <w:r>
              <w:t>火车站出行旅客满意度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3、站前广场治安、志愿者等政府购买服务（RY)绩效目标表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13030225P000161100040</w:t>
            </w:r>
          </w:p>
        </w:tc>
        <w:tc>
          <w:tcPr>
            <w:tcW w:w="2835" w:type="dxa"/>
            <w:vAlign w:val="center"/>
          </w:tcPr>
          <w:p>
            <w:pPr>
              <w:pStyle w:val="11"/>
            </w:pPr>
            <w:r>
              <w:t>项目名称</w:t>
            </w:r>
          </w:p>
        </w:tc>
        <w:tc>
          <w:tcPr>
            <w:tcW w:w="6095" w:type="dxa"/>
            <w:gridSpan w:val="3"/>
            <w:vAlign w:val="center"/>
          </w:tcPr>
          <w:p>
            <w:pPr>
              <w:pStyle w:val="13"/>
            </w:pPr>
            <w:r>
              <w:t>站前广场治安、志愿者等政府购买服务（RY)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595.00</w:t>
            </w:r>
          </w:p>
        </w:tc>
        <w:tc>
          <w:tcPr>
            <w:tcW w:w="2835" w:type="dxa"/>
            <w:vAlign w:val="center"/>
          </w:tcPr>
          <w:p>
            <w:pPr>
              <w:pStyle w:val="11"/>
            </w:pPr>
            <w:r>
              <w:t>其中：财政    资金</w:t>
            </w:r>
          </w:p>
        </w:tc>
        <w:tc>
          <w:tcPr>
            <w:tcW w:w="2551" w:type="dxa"/>
            <w:vAlign w:val="center"/>
          </w:tcPr>
          <w:p>
            <w:pPr>
              <w:pStyle w:val="13"/>
            </w:pPr>
            <w:r>
              <w:t>595.00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为出行旅客做好保障服务工作。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148.75</w:t>
            </w:r>
          </w:p>
        </w:tc>
        <w:tc>
          <w:tcPr>
            <w:tcW w:w="2835" w:type="dxa"/>
            <w:vAlign w:val="center"/>
          </w:tcPr>
          <w:p>
            <w:pPr>
              <w:pStyle w:val="14"/>
            </w:pPr>
            <w:r>
              <w:t>297.50</w:t>
            </w:r>
          </w:p>
        </w:tc>
        <w:tc>
          <w:tcPr>
            <w:tcW w:w="2551" w:type="dxa"/>
            <w:vAlign w:val="center"/>
          </w:tcPr>
          <w:p>
            <w:pPr>
              <w:pStyle w:val="14"/>
            </w:pPr>
            <w:r>
              <w:t>446.25</w:t>
            </w:r>
          </w:p>
        </w:tc>
        <w:tc>
          <w:tcPr>
            <w:tcW w:w="3544" w:type="dxa"/>
            <w:gridSpan w:val="2"/>
            <w:vAlign w:val="center"/>
          </w:tcPr>
          <w:p>
            <w:pPr>
              <w:pStyle w:val="14"/>
            </w:pPr>
            <w:r>
              <w:t>595.00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1.为出行旅客做好保障服务工作。</w:t>
            </w:r>
          </w:p>
          <w:p>
            <w:pPr>
              <w:pStyle w:val="13"/>
            </w:pPr>
            <w:r>
              <w:t>2.有效落实优化营商环境工作要求，提升进出站客流疏散效率。</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站前广场服务人员数量</w:t>
            </w:r>
          </w:p>
        </w:tc>
        <w:tc>
          <w:tcPr>
            <w:tcW w:w="5386" w:type="dxa"/>
            <w:vAlign w:val="center"/>
          </w:tcPr>
          <w:p>
            <w:pPr>
              <w:pStyle w:val="13"/>
            </w:pPr>
            <w:r>
              <w:t>站前广场服务人员数量</w:t>
            </w:r>
          </w:p>
        </w:tc>
        <w:tc>
          <w:tcPr>
            <w:tcW w:w="2268" w:type="dxa"/>
            <w:vAlign w:val="center"/>
          </w:tcPr>
          <w:p>
            <w:pPr>
              <w:pStyle w:val="13"/>
            </w:pPr>
            <w:r>
              <w:t>≥135人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为旅客提供便民服务及时率</w:t>
            </w:r>
          </w:p>
        </w:tc>
        <w:tc>
          <w:tcPr>
            <w:tcW w:w="5386" w:type="dxa"/>
            <w:vAlign w:val="center"/>
          </w:tcPr>
          <w:p>
            <w:pPr>
              <w:pStyle w:val="13"/>
            </w:pPr>
            <w:r>
              <w:t>为旅客提供便民服务及时率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火车站广场客流疏散及时率</w:t>
            </w:r>
          </w:p>
        </w:tc>
        <w:tc>
          <w:tcPr>
            <w:tcW w:w="5386" w:type="dxa"/>
            <w:vAlign w:val="center"/>
          </w:tcPr>
          <w:p>
            <w:pPr>
              <w:pStyle w:val="13"/>
            </w:pPr>
            <w:r>
              <w:t>及时疏散站前广场出行旅客人流</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在预算范围内合理安排使用</w:t>
            </w:r>
          </w:p>
        </w:tc>
        <w:tc>
          <w:tcPr>
            <w:tcW w:w="2268" w:type="dxa"/>
            <w:vAlign w:val="center"/>
          </w:tcPr>
          <w:p>
            <w:pPr>
              <w:pStyle w:val="13"/>
            </w:pPr>
            <w:r>
              <w:t>≤595万元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保障服务工伤顺利进行</w:t>
            </w:r>
          </w:p>
        </w:tc>
        <w:tc>
          <w:tcPr>
            <w:tcW w:w="5386" w:type="dxa"/>
            <w:vAlign w:val="center"/>
          </w:tcPr>
          <w:p>
            <w:pPr>
              <w:pStyle w:val="13"/>
            </w:pPr>
            <w:r>
              <w:t>保障服务工伤顺利进行</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有效落实优化营商环境工作要求</w:t>
            </w:r>
          </w:p>
        </w:tc>
        <w:tc>
          <w:tcPr>
            <w:tcW w:w="5386" w:type="dxa"/>
            <w:vAlign w:val="center"/>
          </w:tcPr>
          <w:p>
            <w:pPr>
              <w:pStyle w:val="13"/>
            </w:pPr>
            <w:r>
              <w:t>有效落实优化营商环境工作要求</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火车站出行旅客满意度</w:t>
            </w:r>
          </w:p>
        </w:tc>
        <w:tc>
          <w:tcPr>
            <w:tcW w:w="5386" w:type="dxa"/>
            <w:vAlign w:val="center"/>
          </w:tcPr>
          <w:p>
            <w:pPr>
              <w:pStyle w:val="13"/>
            </w:pPr>
            <w:r>
              <w:t>火车站出行旅客满意度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341秦皇岛火车站广场服务中心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961.49</w:t>
            </w:r>
          </w:p>
        </w:tc>
        <w:tc>
          <w:tcPr>
            <w:tcW w:w="964" w:type="dxa"/>
            <w:vAlign w:val="center"/>
          </w:tcPr>
          <w:p>
            <w:pPr>
              <w:pStyle w:val="16"/>
            </w:pPr>
            <w:r>
              <w:t>961.49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秦皇岛火车站广场服务中心本级小计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961.49</w:t>
            </w:r>
          </w:p>
        </w:tc>
        <w:tc>
          <w:tcPr>
            <w:tcW w:w="964" w:type="dxa"/>
            <w:vAlign w:val="center"/>
          </w:tcPr>
          <w:p>
            <w:pPr>
              <w:pStyle w:val="16"/>
            </w:pPr>
            <w:r>
              <w:t>961.49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54.17</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49.52</w:t>
            </w:r>
          </w:p>
        </w:tc>
        <w:tc>
          <w:tcPr>
            <w:tcW w:w="964" w:type="dxa"/>
            <w:vAlign w:val="center"/>
          </w:tcPr>
          <w:p>
            <w:pPr>
              <w:pStyle w:val="12"/>
            </w:pPr>
            <w:r>
              <w:t>49.52</w:t>
            </w:r>
          </w:p>
        </w:tc>
        <w:tc>
          <w:tcPr>
            <w:tcW w:w="964" w:type="dxa"/>
            <w:vAlign w:val="center"/>
          </w:tcPr>
          <w:p>
            <w:pPr>
              <w:pStyle w:val="12"/>
            </w:pPr>
            <w:r>
              <w:t>49.52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60</w:t>
            </w:r>
          </w:p>
        </w:tc>
        <w:tc>
          <w:tcPr>
            <w:tcW w:w="850" w:type="dxa"/>
            <w:vAlign w:val="center"/>
          </w:tcPr>
          <w:p>
            <w:pPr>
              <w:pStyle w:val="12"/>
            </w:pPr>
            <w:r>
              <w:t>0.01</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其他电气设备</w:t>
            </w:r>
          </w:p>
        </w:tc>
        <w:tc>
          <w:tcPr>
            <w:tcW w:w="1134" w:type="dxa"/>
            <w:vAlign w:val="center"/>
          </w:tcPr>
          <w:p>
            <w:pPr>
              <w:pStyle w:val="13"/>
            </w:pPr>
            <w:r>
              <w:t>A02069900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53.00</w:t>
            </w:r>
          </w:p>
        </w:tc>
        <w:tc>
          <w:tcPr>
            <w:tcW w:w="964" w:type="dxa"/>
            <w:vAlign w:val="center"/>
          </w:tcPr>
          <w:p>
            <w:pPr>
              <w:pStyle w:val="12"/>
            </w:pPr>
            <w:r>
              <w:t>53.00</w:t>
            </w:r>
          </w:p>
        </w:tc>
        <w:tc>
          <w:tcPr>
            <w:tcW w:w="964" w:type="dxa"/>
            <w:vAlign w:val="center"/>
          </w:tcPr>
          <w:p>
            <w:pPr>
              <w:pStyle w:val="12"/>
            </w:pPr>
            <w:r>
              <w:t>53.00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电力分配服务</w:t>
            </w:r>
          </w:p>
        </w:tc>
        <w:tc>
          <w:tcPr>
            <w:tcW w:w="1134" w:type="dxa"/>
            <w:vAlign w:val="center"/>
          </w:tcPr>
          <w:p>
            <w:pPr>
              <w:pStyle w:val="13"/>
            </w:pPr>
            <w:r>
              <w:t>C08010200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市容管理服务</w:t>
            </w:r>
          </w:p>
        </w:tc>
        <w:tc>
          <w:tcPr>
            <w:tcW w:w="1134" w:type="dxa"/>
            <w:vAlign w:val="center"/>
          </w:tcPr>
          <w:p>
            <w:pPr>
              <w:pStyle w:val="13"/>
            </w:pPr>
            <w:r>
              <w:t>C13040000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0.17</w:t>
            </w:r>
          </w:p>
        </w:tc>
        <w:tc>
          <w:tcPr>
            <w:tcW w:w="964" w:type="dxa"/>
            <w:vAlign w:val="center"/>
          </w:tcPr>
          <w:p>
            <w:pPr>
              <w:pStyle w:val="12"/>
            </w:pPr>
            <w:r>
              <w:t>0.17</w:t>
            </w:r>
          </w:p>
        </w:tc>
        <w:tc>
          <w:tcPr>
            <w:tcW w:w="964" w:type="dxa"/>
            <w:vAlign w:val="center"/>
          </w:tcPr>
          <w:p>
            <w:pPr>
              <w:pStyle w:val="12"/>
            </w:pPr>
            <w:r>
              <w:t>0.17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站前广场运转及维护经费</w:t>
            </w:r>
          </w:p>
        </w:tc>
        <w:tc>
          <w:tcPr>
            <w:tcW w:w="964" w:type="dxa"/>
            <w:vAlign w:val="center"/>
          </w:tcPr>
          <w:p>
            <w:pPr>
              <w:pStyle w:val="12"/>
            </w:pPr>
            <w:r>
              <w:t>450.00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站前广场治安、志愿者等政府购买服务（RY)</w:t>
            </w:r>
          </w:p>
        </w:tc>
        <w:tc>
          <w:tcPr>
            <w:tcW w:w="964" w:type="dxa"/>
            <w:vAlign w:val="center"/>
          </w:tcPr>
          <w:p>
            <w:pPr>
              <w:pStyle w:val="12"/>
            </w:pPr>
            <w:r>
              <w:t>595.00</w:t>
            </w:r>
          </w:p>
        </w:tc>
        <w:tc>
          <w:tcPr>
            <w:tcW w:w="1134" w:type="dxa"/>
            <w:vAlign w:val="center"/>
          </w:tcPr>
          <w:p>
            <w:pPr>
              <w:pStyle w:val="13"/>
            </w:pPr>
            <w:r>
              <w:t>公共安全服务</w:t>
            </w:r>
          </w:p>
        </w:tc>
        <w:tc>
          <w:tcPr>
            <w:tcW w:w="1134" w:type="dxa"/>
            <w:vAlign w:val="center"/>
          </w:tcPr>
          <w:p>
            <w:pPr>
              <w:pStyle w:val="13"/>
            </w:pPr>
            <w:r>
              <w:t>C05040100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595.00</w:t>
            </w:r>
          </w:p>
        </w:tc>
        <w:tc>
          <w:tcPr>
            <w:tcW w:w="964" w:type="dxa"/>
            <w:vAlign w:val="center"/>
          </w:tcPr>
          <w:p>
            <w:pPr>
              <w:pStyle w:val="12"/>
            </w:pPr>
            <w:r>
              <w:t>595.00</w:t>
            </w:r>
          </w:p>
        </w:tc>
        <w:tc>
          <w:tcPr>
            <w:tcW w:w="964" w:type="dxa"/>
            <w:vAlign w:val="center"/>
          </w:tcPr>
          <w:p>
            <w:pPr>
              <w:pStyle w:val="12"/>
            </w:pPr>
            <w:r>
              <w:t>595.00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595.00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秦皇岛火车站广场服务中心（含所属单位）上年末固定资产金额为947.33万元（详见下表）。本年度拟购置固定资产总额为63.90万元，已按要求列入政府采购预算，详见政府采购预算表。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341秦皇岛火车站广场服务中心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947.33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34.04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132.22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672</w:t>
            </w:r>
          </w:p>
        </w:tc>
        <w:tc>
          <w:tcPr>
            <w:tcW w:w="2835" w:type="dxa"/>
            <w:vAlign w:val="center"/>
          </w:tcPr>
          <w:p>
            <w:pPr>
              <w:pStyle w:val="12"/>
            </w:pPr>
            <w:r>
              <w:t>781.07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245FD"/>
    <w:rsid w:val="6AC5656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1</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2025-04-06T15:02:00Z</dcterms:created>
  <dc:creator>Administrator</dc:creator>
  <cp:lastModifiedBy>Administrator</cp:lastModifiedBy>
  <dcterms:modified xsi:type="dcterms:W3CDTF">2025-04-06T07:10:31Z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F783BAEF0CD341F89FA7837C2BF4B84B</vt:lpwstr>
  </property>
</Properties>
</file>