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320秦皇岛市海港区招商和投资促进中心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455.19</w:t>
            </w:r>
          </w:p>
        </w:tc>
        <w:tc>
          <w:tcPr>
            <w:tcW w:w="4535" w:type="dxa"/>
            <w:vAlign w:val="center"/>
          </w:tcPr>
          <w:p>
            <w:pPr>
              <w:pStyle w:val="13"/>
            </w:pPr>
            <w:r>
              <w:t>一、一般公共服务支出</w:t>
            </w:r>
          </w:p>
        </w:tc>
        <w:tc>
          <w:tcPr>
            <w:tcW w:w="2126" w:type="dxa"/>
            <w:vAlign w:val="center"/>
          </w:tcPr>
          <w:p>
            <w:pPr>
              <w:pStyle w:val="12"/>
            </w:pPr>
            <w:r>
              <w:t>386.95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28.77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17.13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455.19</w:t>
            </w:r>
          </w:p>
        </w:tc>
        <w:tc>
          <w:tcPr>
            <w:tcW w:w="4535" w:type="dxa"/>
            <w:vAlign w:val="center"/>
          </w:tcPr>
          <w:p>
            <w:pPr>
              <w:pStyle w:val="15"/>
            </w:pPr>
            <w:r>
              <w:t>本年支出合计</w:t>
            </w:r>
          </w:p>
        </w:tc>
        <w:tc>
          <w:tcPr>
            <w:tcW w:w="2126" w:type="dxa"/>
            <w:vAlign w:val="center"/>
          </w:tcPr>
          <w:p>
            <w:pPr>
              <w:pStyle w:val="16"/>
            </w:pPr>
            <w:r>
              <w:t>455.19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455.19</w:t>
            </w:r>
          </w:p>
        </w:tc>
        <w:tc>
          <w:tcPr>
            <w:tcW w:w="4535" w:type="dxa"/>
            <w:vAlign w:val="center"/>
          </w:tcPr>
          <w:p>
            <w:pPr>
              <w:pStyle w:val="15"/>
            </w:pPr>
            <w:r>
              <w:t>支出总计</w:t>
            </w:r>
          </w:p>
        </w:tc>
        <w:tc>
          <w:tcPr>
            <w:tcW w:w="2126" w:type="dxa"/>
            <w:vAlign w:val="center"/>
          </w:tcPr>
          <w:p>
            <w:pPr>
              <w:pStyle w:val="16"/>
            </w:pPr>
            <w:r>
              <w:t>455.19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320秦皇岛市海港区招商和投资促进中心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455.19</w:t>
            </w:r>
          </w:p>
        </w:tc>
        <w:tc>
          <w:tcPr>
            <w:tcW w:w="1134" w:type="dxa"/>
            <w:vAlign w:val="center"/>
          </w:tcPr>
          <w:p>
            <w:pPr>
              <w:pStyle w:val="16"/>
            </w:pPr>
            <w:r>
              <w:t>455.19</w:t>
            </w:r>
          </w:p>
        </w:tc>
        <w:tc>
          <w:tcPr>
            <w:tcW w:w="1134" w:type="dxa"/>
            <w:vAlign w:val="center"/>
          </w:tcPr>
          <w:p>
            <w:pPr>
              <w:pStyle w:val="16"/>
            </w:pPr>
            <w:r>
              <w:t>455.19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386.95</w:t>
            </w:r>
          </w:p>
        </w:tc>
        <w:tc>
          <w:tcPr>
            <w:tcW w:w="1134" w:type="dxa"/>
            <w:vAlign w:val="center"/>
          </w:tcPr>
          <w:p>
            <w:pPr>
              <w:pStyle w:val="12"/>
            </w:pPr>
            <w:r>
              <w:t>386.95</w:t>
            </w:r>
          </w:p>
        </w:tc>
        <w:tc>
          <w:tcPr>
            <w:tcW w:w="1134" w:type="dxa"/>
            <w:vAlign w:val="center"/>
          </w:tcPr>
          <w:p>
            <w:pPr>
              <w:pStyle w:val="12"/>
            </w:pPr>
            <w:r>
              <w:t>386.95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20113</w:t>
            </w:r>
          </w:p>
        </w:tc>
        <w:tc>
          <w:tcPr>
            <w:tcW w:w="1559" w:type="dxa"/>
            <w:vAlign w:val="center"/>
          </w:tcPr>
          <w:p>
            <w:pPr>
              <w:pStyle w:val="13"/>
            </w:pPr>
            <w:r>
              <w:t>商贸事务</w:t>
            </w:r>
          </w:p>
        </w:tc>
        <w:tc>
          <w:tcPr>
            <w:tcW w:w="1134" w:type="dxa"/>
            <w:vAlign w:val="center"/>
          </w:tcPr>
          <w:p>
            <w:pPr>
              <w:pStyle w:val="12"/>
            </w:pPr>
            <w:r>
              <w:t>386.95</w:t>
            </w:r>
          </w:p>
        </w:tc>
        <w:tc>
          <w:tcPr>
            <w:tcW w:w="1134" w:type="dxa"/>
            <w:vAlign w:val="center"/>
          </w:tcPr>
          <w:p>
            <w:pPr>
              <w:pStyle w:val="12"/>
            </w:pPr>
            <w:r>
              <w:t>386.95</w:t>
            </w:r>
          </w:p>
        </w:tc>
        <w:tc>
          <w:tcPr>
            <w:tcW w:w="1134" w:type="dxa"/>
            <w:vAlign w:val="center"/>
          </w:tcPr>
          <w:p>
            <w:pPr>
              <w:pStyle w:val="12"/>
            </w:pPr>
            <w:r>
              <w:t>386.95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2011301</w:t>
            </w:r>
          </w:p>
        </w:tc>
        <w:tc>
          <w:tcPr>
            <w:tcW w:w="1559" w:type="dxa"/>
            <w:vAlign w:val="center"/>
          </w:tcPr>
          <w:p>
            <w:pPr>
              <w:pStyle w:val="13"/>
            </w:pPr>
            <w:r>
              <w:t>行政运行</w:t>
            </w:r>
          </w:p>
        </w:tc>
        <w:tc>
          <w:tcPr>
            <w:tcW w:w="1134" w:type="dxa"/>
            <w:vAlign w:val="center"/>
          </w:tcPr>
          <w:p>
            <w:pPr>
              <w:pStyle w:val="12"/>
            </w:pPr>
            <w:r>
              <w:t>226.95</w:t>
            </w:r>
          </w:p>
        </w:tc>
        <w:tc>
          <w:tcPr>
            <w:tcW w:w="1134" w:type="dxa"/>
            <w:vAlign w:val="center"/>
          </w:tcPr>
          <w:p>
            <w:pPr>
              <w:pStyle w:val="12"/>
            </w:pPr>
            <w:r>
              <w:t>226.95</w:t>
            </w:r>
          </w:p>
        </w:tc>
        <w:tc>
          <w:tcPr>
            <w:tcW w:w="1134" w:type="dxa"/>
            <w:vAlign w:val="center"/>
          </w:tcPr>
          <w:p>
            <w:pPr>
              <w:pStyle w:val="12"/>
            </w:pPr>
            <w:r>
              <w:t>226.95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2011308</w:t>
            </w:r>
          </w:p>
        </w:tc>
        <w:tc>
          <w:tcPr>
            <w:tcW w:w="1559" w:type="dxa"/>
            <w:vAlign w:val="center"/>
          </w:tcPr>
          <w:p>
            <w:pPr>
              <w:pStyle w:val="13"/>
            </w:pPr>
            <w:r>
              <w:t>招商引资</w:t>
            </w:r>
          </w:p>
        </w:tc>
        <w:tc>
          <w:tcPr>
            <w:tcW w:w="1134" w:type="dxa"/>
            <w:vAlign w:val="center"/>
          </w:tcPr>
          <w:p>
            <w:pPr>
              <w:pStyle w:val="12"/>
            </w:pPr>
            <w:r>
              <w:t>160.00</w:t>
            </w:r>
          </w:p>
        </w:tc>
        <w:tc>
          <w:tcPr>
            <w:tcW w:w="1134" w:type="dxa"/>
            <w:vAlign w:val="center"/>
          </w:tcPr>
          <w:p>
            <w:pPr>
              <w:pStyle w:val="12"/>
            </w:pPr>
            <w:r>
              <w:t>160.00</w:t>
            </w:r>
          </w:p>
        </w:tc>
        <w:tc>
          <w:tcPr>
            <w:tcW w:w="1134" w:type="dxa"/>
            <w:vAlign w:val="center"/>
          </w:tcPr>
          <w:p>
            <w:pPr>
              <w:pStyle w:val="12"/>
            </w:pPr>
            <w:r>
              <w:t>160.00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28.77</w:t>
            </w:r>
          </w:p>
        </w:tc>
        <w:tc>
          <w:tcPr>
            <w:tcW w:w="1134" w:type="dxa"/>
            <w:vAlign w:val="center"/>
          </w:tcPr>
          <w:p>
            <w:pPr>
              <w:pStyle w:val="12"/>
            </w:pPr>
            <w:r>
              <w:t>28.77</w:t>
            </w:r>
          </w:p>
        </w:tc>
        <w:tc>
          <w:tcPr>
            <w:tcW w:w="1134" w:type="dxa"/>
            <w:vAlign w:val="center"/>
          </w:tcPr>
          <w:p>
            <w:pPr>
              <w:pStyle w:val="12"/>
            </w:pPr>
            <w:r>
              <w:t>28.77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28.77</w:t>
            </w:r>
          </w:p>
        </w:tc>
        <w:tc>
          <w:tcPr>
            <w:tcW w:w="1134" w:type="dxa"/>
            <w:vAlign w:val="center"/>
          </w:tcPr>
          <w:p>
            <w:pPr>
              <w:pStyle w:val="12"/>
            </w:pPr>
            <w:r>
              <w:t>28.77</w:t>
            </w:r>
          </w:p>
        </w:tc>
        <w:tc>
          <w:tcPr>
            <w:tcW w:w="1134" w:type="dxa"/>
            <w:vAlign w:val="center"/>
          </w:tcPr>
          <w:p>
            <w:pPr>
              <w:pStyle w:val="12"/>
            </w:pPr>
            <w:r>
              <w:t>28.77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28.77</w:t>
            </w:r>
          </w:p>
        </w:tc>
        <w:tc>
          <w:tcPr>
            <w:tcW w:w="1134" w:type="dxa"/>
            <w:vAlign w:val="center"/>
          </w:tcPr>
          <w:p>
            <w:pPr>
              <w:pStyle w:val="12"/>
            </w:pPr>
            <w:r>
              <w:t>28.77</w:t>
            </w:r>
          </w:p>
        </w:tc>
        <w:tc>
          <w:tcPr>
            <w:tcW w:w="1134" w:type="dxa"/>
            <w:vAlign w:val="center"/>
          </w:tcPr>
          <w:p>
            <w:pPr>
              <w:pStyle w:val="12"/>
            </w:pPr>
            <w:r>
              <w:t>28.77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17.13</w:t>
            </w:r>
          </w:p>
        </w:tc>
        <w:tc>
          <w:tcPr>
            <w:tcW w:w="1134" w:type="dxa"/>
            <w:vAlign w:val="center"/>
          </w:tcPr>
          <w:p>
            <w:pPr>
              <w:pStyle w:val="12"/>
            </w:pPr>
            <w:r>
              <w:t>17.13</w:t>
            </w:r>
          </w:p>
        </w:tc>
        <w:tc>
          <w:tcPr>
            <w:tcW w:w="1134" w:type="dxa"/>
            <w:vAlign w:val="center"/>
          </w:tcPr>
          <w:p>
            <w:pPr>
              <w:pStyle w:val="12"/>
            </w:pPr>
            <w:r>
              <w:t>17.13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17.13</w:t>
            </w:r>
          </w:p>
        </w:tc>
        <w:tc>
          <w:tcPr>
            <w:tcW w:w="1134" w:type="dxa"/>
            <w:vAlign w:val="center"/>
          </w:tcPr>
          <w:p>
            <w:pPr>
              <w:pStyle w:val="12"/>
            </w:pPr>
            <w:r>
              <w:t>17.13</w:t>
            </w:r>
          </w:p>
        </w:tc>
        <w:tc>
          <w:tcPr>
            <w:tcW w:w="1134" w:type="dxa"/>
            <w:vAlign w:val="center"/>
          </w:tcPr>
          <w:p>
            <w:pPr>
              <w:pStyle w:val="12"/>
            </w:pPr>
            <w:r>
              <w:t>17.13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9.84</w:t>
            </w:r>
          </w:p>
        </w:tc>
        <w:tc>
          <w:tcPr>
            <w:tcW w:w="1134" w:type="dxa"/>
            <w:vAlign w:val="center"/>
          </w:tcPr>
          <w:p>
            <w:pPr>
              <w:pStyle w:val="12"/>
            </w:pPr>
            <w:r>
              <w:t>9.84</w:t>
            </w:r>
          </w:p>
        </w:tc>
        <w:tc>
          <w:tcPr>
            <w:tcW w:w="1134" w:type="dxa"/>
            <w:vAlign w:val="center"/>
          </w:tcPr>
          <w:p>
            <w:pPr>
              <w:pStyle w:val="12"/>
            </w:pPr>
            <w:r>
              <w:t>9.84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22.34</w:t>
            </w:r>
          </w:p>
        </w:tc>
        <w:tc>
          <w:tcPr>
            <w:tcW w:w="1134" w:type="dxa"/>
            <w:vAlign w:val="center"/>
          </w:tcPr>
          <w:p>
            <w:pPr>
              <w:pStyle w:val="12"/>
            </w:pPr>
            <w:r>
              <w:t>22.34</w:t>
            </w:r>
          </w:p>
        </w:tc>
        <w:tc>
          <w:tcPr>
            <w:tcW w:w="1134" w:type="dxa"/>
            <w:vAlign w:val="center"/>
          </w:tcPr>
          <w:p>
            <w:pPr>
              <w:pStyle w:val="12"/>
            </w:pPr>
            <w:r>
              <w:t>22.34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22.34</w:t>
            </w:r>
          </w:p>
        </w:tc>
        <w:tc>
          <w:tcPr>
            <w:tcW w:w="1134" w:type="dxa"/>
            <w:vAlign w:val="center"/>
          </w:tcPr>
          <w:p>
            <w:pPr>
              <w:pStyle w:val="12"/>
            </w:pPr>
            <w:r>
              <w:t>22.34</w:t>
            </w:r>
          </w:p>
        </w:tc>
        <w:tc>
          <w:tcPr>
            <w:tcW w:w="1134" w:type="dxa"/>
            <w:vAlign w:val="center"/>
          </w:tcPr>
          <w:p>
            <w:pPr>
              <w:pStyle w:val="12"/>
            </w:pPr>
            <w:r>
              <w:t>22.34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22.34</w:t>
            </w:r>
          </w:p>
        </w:tc>
        <w:tc>
          <w:tcPr>
            <w:tcW w:w="1134" w:type="dxa"/>
            <w:vAlign w:val="center"/>
          </w:tcPr>
          <w:p>
            <w:pPr>
              <w:pStyle w:val="12"/>
            </w:pPr>
            <w:r>
              <w:t>22.34</w:t>
            </w:r>
          </w:p>
        </w:tc>
        <w:tc>
          <w:tcPr>
            <w:tcW w:w="1134" w:type="dxa"/>
            <w:vAlign w:val="center"/>
          </w:tcPr>
          <w:p>
            <w:pPr>
              <w:pStyle w:val="12"/>
            </w:pPr>
            <w:r>
              <w:t>22.34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320秦皇岛市海港区招商和投资促进中心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455.19</w:t>
            </w:r>
          </w:p>
        </w:tc>
        <w:tc>
          <w:tcPr>
            <w:tcW w:w="1361" w:type="dxa"/>
            <w:vAlign w:val="center"/>
          </w:tcPr>
          <w:p>
            <w:pPr>
              <w:pStyle w:val="16"/>
            </w:pPr>
            <w:r>
              <w:t>295.19</w:t>
            </w:r>
          </w:p>
        </w:tc>
        <w:tc>
          <w:tcPr>
            <w:tcW w:w="1361" w:type="dxa"/>
            <w:vAlign w:val="center"/>
          </w:tcPr>
          <w:p>
            <w:pPr>
              <w:pStyle w:val="16"/>
            </w:pPr>
            <w:r>
              <w:t>160.00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386.95</w:t>
            </w:r>
          </w:p>
        </w:tc>
        <w:tc>
          <w:tcPr>
            <w:tcW w:w="1361" w:type="dxa"/>
            <w:vAlign w:val="center"/>
          </w:tcPr>
          <w:p>
            <w:pPr>
              <w:pStyle w:val="12"/>
            </w:pPr>
            <w:r>
              <w:t>226.95</w:t>
            </w:r>
          </w:p>
        </w:tc>
        <w:tc>
          <w:tcPr>
            <w:tcW w:w="1361" w:type="dxa"/>
            <w:vAlign w:val="center"/>
          </w:tcPr>
          <w:p>
            <w:pPr>
              <w:pStyle w:val="12"/>
            </w:pPr>
            <w:r>
              <w:t>160.00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20113</w:t>
            </w:r>
          </w:p>
        </w:tc>
        <w:tc>
          <w:tcPr>
            <w:tcW w:w="4535" w:type="dxa"/>
            <w:vAlign w:val="center"/>
          </w:tcPr>
          <w:p>
            <w:pPr>
              <w:pStyle w:val="13"/>
            </w:pPr>
            <w:r>
              <w:t>商贸事务</w:t>
            </w:r>
          </w:p>
        </w:tc>
        <w:tc>
          <w:tcPr>
            <w:tcW w:w="1361" w:type="dxa"/>
            <w:vAlign w:val="center"/>
          </w:tcPr>
          <w:p>
            <w:pPr>
              <w:pStyle w:val="12"/>
            </w:pPr>
            <w:r>
              <w:t>386.95</w:t>
            </w:r>
          </w:p>
        </w:tc>
        <w:tc>
          <w:tcPr>
            <w:tcW w:w="1361" w:type="dxa"/>
            <w:vAlign w:val="center"/>
          </w:tcPr>
          <w:p>
            <w:pPr>
              <w:pStyle w:val="12"/>
            </w:pPr>
            <w:r>
              <w:t>226.95</w:t>
            </w:r>
          </w:p>
        </w:tc>
        <w:tc>
          <w:tcPr>
            <w:tcW w:w="1361" w:type="dxa"/>
            <w:vAlign w:val="center"/>
          </w:tcPr>
          <w:p>
            <w:pPr>
              <w:pStyle w:val="12"/>
            </w:pPr>
            <w:r>
              <w:t>160.00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2011301</w:t>
            </w:r>
          </w:p>
        </w:tc>
        <w:tc>
          <w:tcPr>
            <w:tcW w:w="4535" w:type="dxa"/>
            <w:vAlign w:val="center"/>
          </w:tcPr>
          <w:p>
            <w:pPr>
              <w:pStyle w:val="13"/>
            </w:pPr>
            <w:r>
              <w:t>行政运行</w:t>
            </w:r>
          </w:p>
        </w:tc>
        <w:tc>
          <w:tcPr>
            <w:tcW w:w="1361" w:type="dxa"/>
            <w:vAlign w:val="center"/>
          </w:tcPr>
          <w:p>
            <w:pPr>
              <w:pStyle w:val="12"/>
            </w:pPr>
            <w:r>
              <w:t>226.95</w:t>
            </w:r>
          </w:p>
        </w:tc>
        <w:tc>
          <w:tcPr>
            <w:tcW w:w="1361" w:type="dxa"/>
            <w:vAlign w:val="center"/>
          </w:tcPr>
          <w:p>
            <w:pPr>
              <w:pStyle w:val="12"/>
            </w:pPr>
            <w:r>
              <w:t>226.95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2011308</w:t>
            </w:r>
          </w:p>
        </w:tc>
        <w:tc>
          <w:tcPr>
            <w:tcW w:w="4535" w:type="dxa"/>
            <w:vAlign w:val="center"/>
          </w:tcPr>
          <w:p>
            <w:pPr>
              <w:pStyle w:val="13"/>
            </w:pPr>
            <w:r>
              <w:t>招商引资</w:t>
            </w:r>
          </w:p>
        </w:tc>
        <w:tc>
          <w:tcPr>
            <w:tcW w:w="1361" w:type="dxa"/>
            <w:vAlign w:val="center"/>
          </w:tcPr>
          <w:p>
            <w:pPr>
              <w:pStyle w:val="12"/>
            </w:pPr>
            <w:r>
              <w:t>160.00</w:t>
            </w:r>
          </w:p>
        </w:tc>
        <w:tc>
          <w:tcPr>
            <w:tcW w:w="1361" w:type="dxa"/>
            <w:vAlign w:val="center"/>
          </w:tcPr>
          <w:p>
            <w:pPr>
              <w:pStyle w:val="12"/>
            </w:pPr>
          </w:p>
        </w:tc>
        <w:tc>
          <w:tcPr>
            <w:tcW w:w="1361" w:type="dxa"/>
            <w:vAlign w:val="center"/>
          </w:tcPr>
          <w:p>
            <w:pPr>
              <w:pStyle w:val="12"/>
            </w:pPr>
            <w:r>
              <w:t>160.00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28.77</w:t>
            </w:r>
          </w:p>
        </w:tc>
        <w:tc>
          <w:tcPr>
            <w:tcW w:w="1361" w:type="dxa"/>
            <w:vAlign w:val="center"/>
          </w:tcPr>
          <w:p>
            <w:pPr>
              <w:pStyle w:val="12"/>
            </w:pPr>
            <w:r>
              <w:t>28.77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28.77</w:t>
            </w:r>
          </w:p>
        </w:tc>
        <w:tc>
          <w:tcPr>
            <w:tcW w:w="1361" w:type="dxa"/>
            <w:vAlign w:val="center"/>
          </w:tcPr>
          <w:p>
            <w:pPr>
              <w:pStyle w:val="12"/>
            </w:pPr>
            <w:r>
              <w:t>28.77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28.77</w:t>
            </w:r>
          </w:p>
        </w:tc>
        <w:tc>
          <w:tcPr>
            <w:tcW w:w="1361" w:type="dxa"/>
            <w:vAlign w:val="center"/>
          </w:tcPr>
          <w:p>
            <w:pPr>
              <w:pStyle w:val="12"/>
            </w:pPr>
            <w:r>
              <w:t>28.77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17.13</w:t>
            </w:r>
          </w:p>
        </w:tc>
        <w:tc>
          <w:tcPr>
            <w:tcW w:w="1361" w:type="dxa"/>
            <w:vAlign w:val="center"/>
          </w:tcPr>
          <w:p>
            <w:pPr>
              <w:pStyle w:val="12"/>
            </w:pPr>
            <w:r>
              <w:t>17.13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17.13</w:t>
            </w:r>
          </w:p>
        </w:tc>
        <w:tc>
          <w:tcPr>
            <w:tcW w:w="1361" w:type="dxa"/>
            <w:vAlign w:val="center"/>
          </w:tcPr>
          <w:p>
            <w:pPr>
              <w:pStyle w:val="12"/>
            </w:pPr>
            <w:r>
              <w:t>17.13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9.84</w:t>
            </w:r>
          </w:p>
        </w:tc>
        <w:tc>
          <w:tcPr>
            <w:tcW w:w="1361" w:type="dxa"/>
            <w:vAlign w:val="center"/>
          </w:tcPr>
          <w:p>
            <w:pPr>
              <w:pStyle w:val="12"/>
            </w:pPr>
            <w:r>
              <w:t>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7.29</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22.34</w:t>
            </w:r>
          </w:p>
        </w:tc>
        <w:tc>
          <w:tcPr>
            <w:tcW w:w="1361" w:type="dxa"/>
            <w:vAlign w:val="center"/>
          </w:tcPr>
          <w:p>
            <w:pPr>
              <w:pStyle w:val="12"/>
            </w:pPr>
            <w:r>
              <w:t>22.34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22.34</w:t>
            </w:r>
          </w:p>
        </w:tc>
        <w:tc>
          <w:tcPr>
            <w:tcW w:w="1361" w:type="dxa"/>
            <w:vAlign w:val="center"/>
          </w:tcPr>
          <w:p>
            <w:pPr>
              <w:pStyle w:val="12"/>
            </w:pPr>
            <w:r>
              <w:t>22.34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22.34</w:t>
            </w:r>
          </w:p>
        </w:tc>
        <w:tc>
          <w:tcPr>
            <w:tcW w:w="1361" w:type="dxa"/>
            <w:vAlign w:val="center"/>
          </w:tcPr>
          <w:p>
            <w:pPr>
              <w:pStyle w:val="12"/>
            </w:pPr>
            <w:r>
              <w:t>22.34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320秦皇岛市海港区招商和投资促进中心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455.19</w:t>
            </w:r>
          </w:p>
        </w:tc>
        <w:tc>
          <w:tcPr>
            <w:tcW w:w="3402" w:type="dxa"/>
            <w:vAlign w:val="center"/>
          </w:tcPr>
          <w:p>
            <w:pPr>
              <w:pStyle w:val="13"/>
            </w:pPr>
            <w:r>
              <w:t>一、一般公共服务支出</w:t>
            </w:r>
          </w:p>
        </w:tc>
        <w:tc>
          <w:tcPr>
            <w:tcW w:w="1474" w:type="dxa"/>
            <w:vAlign w:val="center"/>
          </w:tcPr>
          <w:p>
            <w:pPr>
              <w:pStyle w:val="12"/>
            </w:pPr>
            <w:r>
              <w:t>386.95</w:t>
            </w:r>
          </w:p>
        </w:tc>
        <w:tc>
          <w:tcPr>
            <w:tcW w:w="1474" w:type="dxa"/>
            <w:vAlign w:val="center"/>
          </w:tcPr>
          <w:p>
            <w:pPr>
              <w:pStyle w:val="12"/>
            </w:pPr>
            <w:r>
              <w:t>386.95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28.77</w:t>
            </w:r>
          </w:p>
        </w:tc>
        <w:tc>
          <w:tcPr>
            <w:tcW w:w="1474" w:type="dxa"/>
            <w:vAlign w:val="center"/>
          </w:tcPr>
          <w:p>
            <w:pPr>
              <w:pStyle w:val="12"/>
            </w:pPr>
            <w:r>
              <w:t>28.77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17.13</w:t>
            </w:r>
          </w:p>
        </w:tc>
        <w:tc>
          <w:tcPr>
            <w:tcW w:w="1474" w:type="dxa"/>
            <w:vAlign w:val="center"/>
          </w:tcPr>
          <w:p>
            <w:pPr>
              <w:pStyle w:val="12"/>
            </w:pPr>
            <w:r>
              <w:t>17.13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22.34</w:t>
            </w:r>
          </w:p>
        </w:tc>
        <w:tc>
          <w:tcPr>
            <w:tcW w:w="1474" w:type="dxa"/>
            <w:vAlign w:val="center"/>
          </w:tcPr>
          <w:p>
            <w:pPr>
              <w:pStyle w:val="12"/>
            </w:pPr>
            <w:r>
              <w:t>22.34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455.19</w:t>
            </w:r>
          </w:p>
        </w:tc>
        <w:tc>
          <w:tcPr>
            <w:tcW w:w="3402" w:type="dxa"/>
            <w:vAlign w:val="center"/>
          </w:tcPr>
          <w:p>
            <w:pPr>
              <w:pStyle w:val="15"/>
            </w:pPr>
            <w:r>
              <w:t>本年支出合计</w:t>
            </w:r>
          </w:p>
        </w:tc>
        <w:tc>
          <w:tcPr>
            <w:tcW w:w="1474" w:type="dxa"/>
            <w:vAlign w:val="center"/>
          </w:tcPr>
          <w:p>
            <w:pPr>
              <w:pStyle w:val="16"/>
            </w:pPr>
            <w:r>
              <w:t>455.19</w:t>
            </w:r>
          </w:p>
        </w:tc>
        <w:tc>
          <w:tcPr>
            <w:tcW w:w="1474" w:type="dxa"/>
            <w:vAlign w:val="center"/>
          </w:tcPr>
          <w:p>
            <w:pPr>
              <w:pStyle w:val="16"/>
            </w:pPr>
            <w:r>
              <w:t>455.19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455.19</w:t>
            </w:r>
          </w:p>
        </w:tc>
        <w:tc>
          <w:tcPr>
            <w:tcW w:w="3402" w:type="dxa"/>
            <w:vAlign w:val="center"/>
          </w:tcPr>
          <w:p>
            <w:pPr>
              <w:pStyle w:val="15"/>
            </w:pPr>
            <w:r>
              <w:t>支出总计</w:t>
            </w:r>
          </w:p>
        </w:tc>
        <w:tc>
          <w:tcPr>
            <w:tcW w:w="1474" w:type="dxa"/>
            <w:vAlign w:val="center"/>
          </w:tcPr>
          <w:p>
            <w:pPr>
              <w:pStyle w:val="16"/>
            </w:pPr>
            <w:r>
              <w:t>455.19</w:t>
            </w:r>
          </w:p>
        </w:tc>
        <w:tc>
          <w:tcPr>
            <w:tcW w:w="1474" w:type="dxa"/>
            <w:vAlign w:val="center"/>
          </w:tcPr>
          <w:p>
            <w:pPr>
              <w:pStyle w:val="16"/>
            </w:pPr>
            <w:r>
              <w:t>455.19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320秦皇岛市海港区招商和投资促进中心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455.19</w:t>
            </w:r>
          </w:p>
        </w:tc>
        <w:tc>
          <w:tcPr>
            <w:tcW w:w="2551" w:type="dxa"/>
            <w:vAlign w:val="center"/>
          </w:tcPr>
          <w:p>
            <w:pPr>
              <w:pStyle w:val="16"/>
            </w:pPr>
            <w:r>
              <w:t>295.19</w:t>
            </w:r>
          </w:p>
        </w:tc>
        <w:tc>
          <w:tcPr>
            <w:tcW w:w="2551" w:type="dxa"/>
            <w:vAlign w:val="center"/>
          </w:tcPr>
          <w:p>
            <w:pPr>
              <w:pStyle w:val="16"/>
            </w:pPr>
            <w:r>
              <w:t>160.00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386.95</w:t>
            </w:r>
          </w:p>
        </w:tc>
        <w:tc>
          <w:tcPr>
            <w:tcW w:w="2551" w:type="dxa"/>
            <w:vAlign w:val="center"/>
          </w:tcPr>
          <w:p>
            <w:pPr>
              <w:pStyle w:val="12"/>
            </w:pPr>
            <w:r>
              <w:t>226.95</w:t>
            </w:r>
          </w:p>
        </w:tc>
        <w:tc>
          <w:tcPr>
            <w:tcW w:w="2551" w:type="dxa"/>
            <w:vAlign w:val="center"/>
          </w:tcPr>
          <w:p>
            <w:pPr>
              <w:pStyle w:val="12"/>
            </w:pPr>
            <w:r>
              <w:t>160.00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20113</w:t>
            </w:r>
          </w:p>
        </w:tc>
        <w:tc>
          <w:tcPr>
            <w:tcW w:w="4535" w:type="dxa"/>
            <w:vAlign w:val="center"/>
          </w:tcPr>
          <w:p>
            <w:pPr>
              <w:pStyle w:val="13"/>
            </w:pPr>
            <w:r>
              <w:t>商贸事务</w:t>
            </w:r>
          </w:p>
        </w:tc>
        <w:tc>
          <w:tcPr>
            <w:tcW w:w="2551" w:type="dxa"/>
            <w:vAlign w:val="center"/>
          </w:tcPr>
          <w:p>
            <w:pPr>
              <w:pStyle w:val="12"/>
            </w:pPr>
            <w:r>
              <w:t>386.95</w:t>
            </w:r>
          </w:p>
        </w:tc>
        <w:tc>
          <w:tcPr>
            <w:tcW w:w="2551" w:type="dxa"/>
            <w:vAlign w:val="center"/>
          </w:tcPr>
          <w:p>
            <w:pPr>
              <w:pStyle w:val="12"/>
            </w:pPr>
            <w:r>
              <w:t>226.95</w:t>
            </w:r>
          </w:p>
        </w:tc>
        <w:tc>
          <w:tcPr>
            <w:tcW w:w="2551" w:type="dxa"/>
            <w:vAlign w:val="center"/>
          </w:tcPr>
          <w:p>
            <w:pPr>
              <w:pStyle w:val="12"/>
            </w:pPr>
            <w:r>
              <w:t>160.00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2011301</w:t>
            </w:r>
          </w:p>
        </w:tc>
        <w:tc>
          <w:tcPr>
            <w:tcW w:w="4535" w:type="dxa"/>
            <w:vAlign w:val="center"/>
          </w:tcPr>
          <w:p>
            <w:pPr>
              <w:pStyle w:val="13"/>
            </w:pPr>
            <w:r>
              <w:t>行政运行</w:t>
            </w:r>
          </w:p>
        </w:tc>
        <w:tc>
          <w:tcPr>
            <w:tcW w:w="2551" w:type="dxa"/>
            <w:vAlign w:val="center"/>
          </w:tcPr>
          <w:p>
            <w:pPr>
              <w:pStyle w:val="12"/>
            </w:pPr>
            <w:r>
              <w:t>226.95</w:t>
            </w:r>
          </w:p>
        </w:tc>
        <w:tc>
          <w:tcPr>
            <w:tcW w:w="2551" w:type="dxa"/>
            <w:vAlign w:val="center"/>
          </w:tcPr>
          <w:p>
            <w:pPr>
              <w:pStyle w:val="12"/>
            </w:pPr>
            <w:r>
              <w:t>226.95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2011308</w:t>
            </w:r>
          </w:p>
        </w:tc>
        <w:tc>
          <w:tcPr>
            <w:tcW w:w="4535" w:type="dxa"/>
            <w:vAlign w:val="center"/>
          </w:tcPr>
          <w:p>
            <w:pPr>
              <w:pStyle w:val="13"/>
            </w:pPr>
            <w:r>
              <w:t>招商引资</w:t>
            </w:r>
          </w:p>
        </w:tc>
        <w:tc>
          <w:tcPr>
            <w:tcW w:w="2551" w:type="dxa"/>
            <w:vAlign w:val="center"/>
          </w:tcPr>
          <w:p>
            <w:pPr>
              <w:pStyle w:val="12"/>
            </w:pPr>
            <w:r>
              <w:t>160.00</w:t>
            </w:r>
          </w:p>
        </w:tc>
        <w:tc>
          <w:tcPr>
            <w:tcW w:w="2551" w:type="dxa"/>
            <w:vAlign w:val="center"/>
          </w:tcPr>
          <w:p>
            <w:pPr>
              <w:pStyle w:val="12"/>
            </w:pPr>
          </w:p>
        </w:tc>
        <w:tc>
          <w:tcPr>
            <w:tcW w:w="2551" w:type="dxa"/>
            <w:vAlign w:val="center"/>
          </w:tcPr>
          <w:p>
            <w:pPr>
              <w:pStyle w:val="12"/>
            </w:pPr>
            <w:r>
              <w:t>160.00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28.77</w:t>
            </w:r>
          </w:p>
        </w:tc>
        <w:tc>
          <w:tcPr>
            <w:tcW w:w="2551" w:type="dxa"/>
            <w:vAlign w:val="center"/>
          </w:tcPr>
          <w:p>
            <w:pPr>
              <w:pStyle w:val="12"/>
            </w:pPr>
            <w:r>
              <w:t>28.77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28.77</w:t>
            </w:r>
          </w:p>
        </w:tc>
        <w:tc>
          <w:tcPr>
            <w:tcW w:w="2551" w:type="dxa"/>
            <w:vAlign w:val="center"/>
          </w:tcPr>
          <w:p>
            <w:pPr>
              <w:pStyle w:val="12"/>
            </w:pPr>
            <w:r>
              <w:t>28.77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28.77</w:t>
            </w:r>
          </w:p>
        </w:tc>
        <w:tc>
          <w:tcPr>
            <w:tcW w:w="2551" w:type="dxa"/>
            <w:vAlign w:val="center"/>
          </w:tcPr>
          <w:p>
            <w:pPr>
              <w:pStyle w:val="12"/>
            </w:pPr>
            <w:r>
              <w:t>28.77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17.13</w:t>
            </w:r>
          </w:p>
        </w:tc>
        <w:tc>
          <w:tcPr>
            <w:tcW w:w="2551" w:type="dxa"/>
            <w:vAlign w:val="center"/>
          </w:tcPr>
          <w:p>
            <w:pPr>
              <w:pStyle w:val="12"/>
            </w:pPr>
            <w:r>
              <w:t>17.13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17.13</w:t>
            </w:r>
          </w:p>
        </w:tc>
        <w:tc>
          <w:tcPr>
            <w:tcW w:w="2551" w:type="dxa"/>
            <w:vAlign w:val="center"/>
          </w:tcPr>
          <w:p>
            <w:pPr>
              <w:pStyle w:val="12"/>
            </w:pPr>
            <w:r>
              <w:t>17.13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9.84</w:t>
            </w:r>
          </w:p>
        </w:tc>
        <w:tc>
          <w:tcPr>
            <w:tcW w:w="2551" w:type="dxa"/>
            <w:vAlign w:val="center"/>
          </w:tcPr>
          <w:p>
            <w:pPr>
              <w:pStyle w:val="12"/>
            </w:pPr>
            <w:r>
              <w:t>9.84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7.29</w:t>
            </w:r>
          </w:p>
        </w:tc>
        <w:tc>
          <w:tcPr>
            <w:tcW w:w="2551" w:type="dxa"/>
            <w:vAlign w:val="center"/>
          </w:tcPr>
          <w:p>
            <w:pPr>
              <w:pStyle w:val="12"/>
            </w:pPr>
            <w:r>
              <w:t>7.29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22.34</w:t>
            </w:r>
          </w:p>
        </w:tc>
        <w:tc>
          <w:tcPr>
            <w:tcW w:w="2551" w:type="dxa"/>
            <w:vAlign w:val="center"/>
          </w:tcPr>
          <w:p>
            <w:pPr>
              <w:pStyle w:val="12"/>
            </w:pPr>
            <w:r>
              <w:t>22.34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22.34</w:t>
            </w:r>
          </w:p>
        </w:tc>
        <w:tc>
          <w:tcPr>
            <w:tcW w:w="2551" w:type="dxa"/>
            <w:vAlign w:val="center"/>
          </w:tcPr>
          <w:p>
            <w:pPr>
              <w:pStyle w:val="12"/>
            </w:pPr>
            <w:r>
              <w:t>22.34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22.34</w:t>
            </w:r>
          </w:p>
        </w:tc>
        <w:tc>
          <w:tcPr>
            <w:tcW w:w="2551" w:type="dxa"/>
            <w:vAlign w:val="center"/>
          </w:tcPr>
          <w:p>
            <w:pPr>
              <w:pStyle w:val="12"/>
            </w:pPr>
            <w:r>
              <w:t>22.34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320秦皇岛市海港区招商和投资促进中心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295.19</w:t>
            </w:r>
          </w:p>
        </w:tc>
        <w:tc>
          <w:tcPr>
            <w:tcW w:w="2551" w:type="dxa"/>
            <w:vAlign w:val="center"/>
          </w:tcPr>
          <w:p>
            <w:pPr>
              <w:pStyle w:val="16"/>
            </w:pPr>
            <w:r>
              <w:t>281.70</w:t>
            </w:r>
          </w:p>
        </w:tc>
        <w:tc>
          <w:tcPr>
            <w:tcW w:w="2551" w:type="dxa"/>
            <w:vAlign w:val="center"/>
          </w:tcPr>
          <w:p>
            <w:pPr>
              <w:pStyle w:val="16"/>
            </w:pPr>
            <w:r>
              <w:t>13.49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281.70</w:t>
            </w:r>
          </w:p>
        </w:tc>
        <w:tc>
          <w:tcPr>
            <w:tcW w:w="2551" w:type="dxa"/>
            <w:vAlign w:val="center"/>
          </w:tcPr>
          <w:p>
            <w:pPr>
              <w:pStyle w:val="12"/>
            </w:pPr>
            <w:r>
              <w:t>281.70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77.47</w:t>
            </w:r>
          </w:p>
        </w:tc>
        <w:tc>
          <w:tcPr>
            <w:tcW w:w="2551" w:type="dxa"/>
            <w:vAlign w:val="center"/>
          </w:tcPr>
          <w:p>
            <w:pPr>
              <w:pStyle w:val="12"/>
            </w:pPr>
            <w:r>
              <w:t>77.47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15.74</w:t>
            </w:r>
          </w:p>
        </w:tc>
        <w:tc>
          <w:tcPr>
            <w:tcW w:w="2551" w:type="dxa"/>
            <w:vAlign w:val="center"/>
          </w:tcPr>
          <w:p>
            <w:pPr>
              <w:pStyle w:val="12"/>
            </w:pPr>
            <w:r>
              <w:t>15.74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118.50</w:t>
            </w:r>
          </w:p>
        </w:tc>
        <w:tc>
          <w:tcPr>
            <w:tcW w:w="2551" w:type="dxa"/>
            <w:vAlign w:val="center"/>
          </w:tcPr>
          <w:p>
            <w:pPr>
              <w:pStyle w:val="12"/>
            </w:pPr>
            <w:r>
              <w:t>118.50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28.77</w:t>
            </w:r>
          </w:p>
        </w:tc>
        <w:tc>
          <w:tcPr>
            <w:tcW w:w="2551" w:type="dxa"/>
            <w:vAlign w:val="center"/>
          </w:tcPr>
          <w:p>
            <w:pPr>
              <w:pStyle w:val="12"/>
            </w:pPr>
            <w:r>
              <w:t>28.77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9.84</w:t>
            </w:r>
          </w:p>
        </w:tc>
        <w:tc>
          <w:tcPr>
            <w:tcW w:w="2551" w:type="dxa"/>
            <w:vAlign w:val="center"/>
          </w:tcPr>
          <w:p>
            <w:pPr>
              <w:pStyle w:val="12"/>
            </w:pPr>
            <w:r>
              <w:t>9.84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7.29</w:t>
            </w:r>
          </w:p>
        </w:tc>
        <w:tc>
          <w:tcPr>
            <w:tcW w:w="2551" w:type="dxa"/>
            <w:vAlign w:val="center"/>
          </w:tcPr>
          <w:p>
            <w:pPr>
              <w:pStyle w:val="12"/>
            </w:pPr>
            <w:r>
              <w:t>7.29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1.75</w:t>
            </w:r>
          </w:p>
        </w:tc>
        <w:tc>
          <w:tcPr>
            <w:tcW w:w="2551" w:type="dxa"/>
            <w:vAlign w:val="center"/>
          </w:tcPr>
          <w:p>
            <w:pPr>
              <w:pStyle w:val="12"/>
            </w:pPr>
            <w:r>
              <w:t>1.75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22.34</w:t>
            </w:r>
          </w:p>
        </w:tc>
        <w:tc>
          <w:tcPr>
            <w:tcW w:w="2551" w:type="dxa"/>
            <w:vAlign w:val="center"/>
          </w:tcPr>
          <w:p>
            <w:pPr>
              <w:pStyle w:val="12"/>
            </w:pPr>
            <w:r>
              <w:t>22.34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13.49</w:t>
            </w:r>
          </w:p>
        </w:tc>
        <w:tc>
          <w:tcPr>
            <w:tcW w:w="2551" w:type="dxa"/>
            <w:vAlign w:val="center"/>
          </w:tcPr>
          <w:p>
            <w:pPr>
              <w:pStyle w:val="12"/>
            </w:pPr>
          </w:p>
        </w:tc>
        <w:tc>
          <w:tcPr>
            <w:tcW w:w="2551" w:type="dxa"/>
            <w:vAlign w:val="center"/>
          </w:tcPr>
          <w:p>
            <w:pPr>
              <w:pStyle w:val="12"/>
            </w:pPr>
            <w:r>
              <w:t>13.49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3.80</w:t>
            </w:r>
          </w:p>
        </w:tc>
        <w:tc>
          <w:tcPr>
            <w:tcW w:w="2551" w:type="dxa"/>
            <w:vAlign w:val="center"/>
          </w:tcPr>
          <w:p>
            <w:pPr>
              <w:pStyle w:val="12"/>
            </w:pPr>
          </w:p>
        </w:tc>
        <w:tc>
          <w:tcPr>
            <w:tcW w:w="2551" w:type="dxa"/>
            <w:vAlign w:val="center"/>
          </w:tcPr>
          <w:p>
            <w:pPr>
              <w:pStyle w:val="12"/>
            </w:pPr>
            <w:r>
              <w:t>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0.08</w:t>
            </w:r>
          </w:p>
        </w:tc>
        <w:tc>
          <w:tcPr>
            <w:tcW w:w="2551" w:type="dxa"/>
            <w:vAlign w:val="center"/>
          </w:tcPr>
          <w:p>
            <w:pPr>
              <w:pStyle w:val="12"/>
            </w:pPr>
          </w:p>
        </w:tc>
        <w:tc>
          <w:tcPr>
            <w:tcW w:w="2551" w:type="dxa"/>
            <w:vAlign w:val="center"/>
          </w:tcPr>
          <w:p>
            <w:pPr>
              <w:pStyle w:val="12"/>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2.92</w:t>
            </w:r>
          </w:p>
        </w:tc>
        <w:tc>
          <w:tcPr>
            <w:tcW w:w="2551" w:type="dxa"/>
            <w:vAlign w:val="center"/>
          </w:tcPr>
          <w:p>
            <w:pPr>
              <w:pStyle w:val="12"/>
            </w:pPr>
          </w:p>
        </w:tc>
        <w:tc>
          <w:tcPr>
            <w:tcW w:w="2551" w:type="dxa"/>
            <w:vAlign w:val="center"/>
          </w:tcPr>
          <w:p>
            <w:pPr>
              <w:pStyle w:val="12"/>
            </w:pPr>
            <w:r>
              <w:t>2.92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1.94</w:t>
            </w:r>
          </w:p>
        </w:tc>
        <w:tc>
          <w:tcPr>
            <w:tcW w:w="2551" w:type="dxa"/>
            <w:vAlign w:val="center"/>
          </w:tcPr>
          <w:p>
            <w:pPr>
              <w:pStyle w:val="12"/>
            </w:pPr>
          </w:p>
        </w:tc>
        <w:tc>
          <w:tcPr>
            <w:tcW w:w="2551" w:type="dxa"/>
            <w:vAlign w:val="center"/>
          </w:tcPr>
          <w:p>
            <w:pPr>
              <w:pStyle w:val="12"/>
            </w:pPr>
            <w:r>
              <w:t>1.94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4.51</w:t>
            </w:r>
          </w:p>
        </w:tc>
        <w:tc>
          <w:tcPr>
            <w:tcW w:w="2551" w:type="dxa"/>
            <w:vAlign w:val="center"/>
          </w:tcPr>
          <w:p>
            <w:pPr>
              <w:pStyle w:val="12"/>
            </w:pPr>
          </w:p>
        </w:tc>
        <w:tc>
          <w:tcPr>
            <w:tcW w:w="2551" w:type="dxa"/>
            <w:vAlign w:val="center"/>
          </w:tcPr>
          <w:p>
            <w:pPr>
              <w:pStyle w:val="12"/>
            </w:pPr>
            <w:r>
              <w:t>4.51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0.24</w:t>
            </w:r>
          </w:p>
        </w:tc>
        <w:tc>
          <w:tcPr>
            <w:tcW w:w="2551" w:type="dxa"/>
            <w:vAlign w:val="center"/>
          </w:tcPr>
          <w:p>
            <w:pPr>
              <w:pStyle w:val="12"/>
            </w:pPr>
          </w:p>
        </w:tc>
        <w:tc>
          <w:tcPr>
            <w:tcW w:w="2551" w:type="dxa"/>
            <w:vAlign w:val="center"/>
          </w:tcPr>
          <w:p>
            <w:pPr>
              <w:pStyle w:val="12"/>
            </w:pPr>
            <w:r>
              <w:t>0.24</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320秦皇岛市海港区招商和投资促进中心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320秦皇岛市海港区招商和投资促进中心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320秦皇岛市海港区招商和投资促进中心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4.59</w:t>
            </w:r>
          </w:p>
        </w:tc>
        <w:tc>
          <w:tcPr>
            <w:tcW w:w="2381" w:type="dxa"/>
            <w:vAlign w:val="center"/>
          </w:tcPr>
          <w:p>
            <w:pPr>
              <w:pStyle w:val="16"/>
            </w:pPr>
            <w:r>
              <w:t>4.59</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4.59</w:t>
            </w:r>
          </w:p>
        </w:tc>
        <w:tc>
          <w:tcPr>
            <w:tcW w:w="2381" w:type="dxa"/>
            <w:vAlign w:val="center"/>
          </w:tcPr>
          <w:p>
            <w:pPr>
              <w:pStyle w:val="12"/>
            </w:pPr>
            <w:r>
              <w:t>4.59</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4.51</w:t>
            </w:r>
          </w:p>
        </w:tc>
        <w:tc>
          <w:tcPr>
            <w:tcW w:w="2381" w:type="dxa"/>
            <w:vAlign w:val="center"/>
          </w:tcPr>
          <w:p>
            <w:pPr>
              <w:pStyle w:val="12"/>
            </w:pPr>
            <w:r>
              <w:t>4.51</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4.51</w:t>
            </w:r>
          </w:p>
        </w:tc>
        <w:tc>
          <w:tcPr>
            <w:tcW w:w="2381" w:type="dxa"/>
            <w:vAlign w:val="center"/>
          </w:tcPr>
          <w:p>
            <w:pPr>
              <w:pStyle w:val="12"/>
            </w:pPr>
            <w:r>
              <w:t>4.51</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0.08</w:t>
            </w:r>
          </w:p>
        </w:tc>
        <w:tc>
          <w:tcPr>
            <w:tcW w:w="2381" w:type="dxa"/>
            <w:vAlign w:val="center"/>
          </w:tcPr>
          <w:p>
            <w:pPr>
              <w:pStyle w:val="12"/>
            </w:pPr>
            <w:r>
              <w:t>0.08</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秦皇岛市海港区招商和投资促进中心2025年部门预算信息公开情况说明</w:t>
      </w:r>
    </w:p>
    <w:p>
      <w:pPr>
        <w:jc w:val="center"/>
      </w:pPr>
      <w:r>
        <w:rPr>
          <w:rFonts w:ascii="方正小标宋_GBK" w:hAnsi="方正小标宋_GBK" w:eastAsia="方正小标宋_GBK" w:cs="方正小标宋_GBK"/>
          <w:color w:val="000000"/>
          <w:sz w:val="44"/>
        </w:rPr>
        <w:t>秦皇岛市海港区招商和投资促进中心2025年部门预算信息公开情况说明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按照《中华人民共和国预算法》、《地方预决算公开操作规程》和《关于进一步推进预算公开工作的实施意见》规定，现将秦皇岛市海港区招商和投资促进中心2025年部门预算公开如下：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(一)负责上级以及区委、区政府招商引资政策落实的协调服务工作。</w:t>
      </w:r>
    </w:p>
    <w:p>
      <w:pPr>
        <w:pStyle w:val="18"/>
      </w:pPr>
      <w:r>
        <w:t>(二)负责组织全区重大招商活动，参与重点招商引资项目洽谈。</w:t>
      </w:r>
    </w:p>
    <w:p>
      <w:pPr>
        <w:pStyle w:val="18"/>
      </w:pPr>
      <w:r>
        <w:t>(三)负责与境内外商协会组织、重点企业、科研机构、高校院所进行沟通联络，推介招商引资政策，收集投资项目信息。</w:t>
      </w:r>
    </w:p>
    <w:p>
      <w:pPr>
        <w:pStyle w:val="18"/>
      </w:pPr>
      <w:r>
        <w:t>(四)负责区相关部门、开发区(园区)等全区的招商项目信息汇总、分析及推送工作。</w:t>
      </w:r>
    </w:p>
    <w:p>
      <w:pPr>
        <w:pStyle w:val="18"/>
      </w:pPr>
      <w:r>
        <w:t>(五)负责来海港区投资企业以及投资项目建设的协调服务工作。</w:t>
      </w:r>
    </w:p>
    <w:p>
      <w:pPr>
        <w:pStyle w:val="18"/>
      </w:pPr>
      <w:r>
        <w:t>(六)负责全区招商引资信息化平台的建设管理、运行维护、信息发布工作。</w:t>
      </w:r>
    </w:p>
    <w:p>
      <w:pPr>
        <w:pStyle w:val="18"/>
      </w:pPr>
      <w:r>
        <w:t>(七)完成区委、区政府及区商务局交办的其他任务。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秦皇岛市海港区招商和投资促进中心本级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按照预算管理有关规定，目前部门预算的编制实行综合预算管理，即全部收入和支出都反映在预算中。秦皇岛市海港区招商和投资促进中心机关及所属事业单位的收支包含在部门预算中。</w:t>
      </w:r>
    </w:p>
    <w:p>
      <w:pPr>
        <w:pStyle w:val="19"/>
      </w:pPr>
      <w:r>
        <w:t>1、收入说明</w:t>
      </w:r>
    </w:p>
    <w:p>
      <w:pPr>
        <w:pStyle w:val="19"/>
      </w:pPr>
      <w:r>
        <w:t>反映本部门当年全部收入。2025年预算收入455.19万元，其中：一般公共预算收入455.19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秦皇岛市海港区招商和投资促进中心年度部门预算中支出预算的总体情况。2025年支出预算455.19万元，其中基本支出295.19万元，包括人员经费281.70万元和日常公用经费13.49万元；项目支出160.00万元，主要为招商工作经费160万元，用于开展招商引资突破年活动，促进产业发展全方位提档升级，构建海港区高质量发展招商新格局。</w:t>
      </w:r>
    </w:p>
    <w:p>
      <w:pPr>
        <w:pStyle w:val="19"/>
      </w:pPr>
      <w:r>
        <w:t>3、比上年增减情况</w:t>
      </w:r>
    </w:p>
    <w:p>
      <w:pPr>
        <w:pStyle w:val="19"/>
      </w:pPr>
      <w:r>
        <w:t>2025年预算收支安排455.19万元，较2024年预算减少67.98万元，其中：基本支出减少27.98万元，主要为人员经费减少26.66万元 ，比上年减少8.65%； 日常公用经费减少1.32万元，比上年减少8.91%，减少原因为厉行节约，压缩支出。项目支出减少40.00万元，主要为招商工作经费减少40万元，原因为厉行节约，压缩支出。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2025年，我部门机关运行经费共计安排13.49万元，主要用于日常维修、办公用房水电费、办公用房取暖费、办公用房物业管理费等日常运行支出。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4.59万元，其中因公出国（境）费0.00万元；公务用车购置及运维费4.51万元（其中：公务用车购置费为0.00万元，公务用车运维费4.51万元)；公务接待费0.08万元。与2024年相比增加</w:t>
      </w:r>
      <w:r>
        <w:rPr>
          <w:rFonts w:hint="eastAsia" w:eastAsiaTheme="minorEastAsia"/>
          <w:lang w:eastAsia="zh-CN"/>
        </w:rPr>
        <w:t>0.08</w:t>
      </w:r>
      <w:r>
        <w:t>万元，变化的主要原因是增加了公务接待费0.08万元。</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pPr>
      <w:r>
        <w:t>2024年我区将坚持以习近平新时代中国特色社会主义思想为指导，积极完成省、市招商引资工作部署，进一步聚焦“6211”产业，聚力产业发展方向，强化大力招、全面引措施，推动区域联动、产业协同、企业互动高频高质开展，大力招引战略央企、实力民企、知名外企，加快落地一批投资大、见效快、带动强、发展好的优质项目，力争2024年开展精准招商活动30次以上、对接企业40家以上，促成项目签约10个以上。奋力实现招商引资大突破，为全年经济社会高质量发展贡献强劲动力。强化会展招商，做好招商推介。2024年我区重点以宣传推介我区投资环境，展示对外开放新形象，全力引进优质项目为方向，谋划在京津冀、长三角、珠三角、东北等地区召开专  题招商推介活动。一是拟以北京非首都功能疏解和央企总部为主题，在京津冀召开投资环境推介会。二是拟以先进制造产业为主题在上海、昆山、杭州等地召开投资环境推介会。三是拟以新兴科技产业为主题在广州、深圳等地区，举办专题招商推介会。五是拟以装备制造业为主题在哈尔滨，举办东三省专题招商推介会。六是借助参加廊洽会、高交会、进博会、广交会等重要展会节会契机，通过省、市邀请重量级客商资源，在廊坊、广州、上海、深圳等地举办投资环境说明会。</w:t>
      </w:r>
    </w:p>
    <w:p>
      <w:pPr>
        <w:spacing w:line="500" w:lineRule="exact"/>
        <w:ind w:firstLine="560"/>
      </w:pPr>
      <w:r>
        <w:rPr>
          <w:rFonts w:eastAsia="方正仿宋_GBK"/>
          <w:color w:val="000000"/>
          <w:sz w:val="28"/>
        </w:rPr>
        <w:t>（二）分项绩效目标</w:t>
      </w:r>
    </w:p>
    <w:p>
      <w:pPr>
        <w:pStyle w:val="23"/>
      </w:pPr>
      <w:r>
        <w:t>一、招商引资工作</w:t>
      </w:r>
    </w:p>
    <w:p>
      <w:pPr>
        <w:pStyle w:val="23"/>
      </w:pPr>
      <w:r>
        <w:t>1、绩效目标：积极完成省、市招商引资工作部署</w:t>
      </w:r>
    </w:p>
    <w:p>
      <w:pPr>
        <w:pStyle w:val="23"/>
      </w:pPr>
      <w:r>
        <w:t>绩效指标：参加国家、省、市招商活动次数≥6次</w:t>
      </w:r>
    </w:p>
    <w:p>
      <w:pPr>
        <w:pStyle w:val="23"/>
        <w:rPr>
          <w:rFonts w:hint="eastAsia" w:eastAsiaTheme="minorEastAsia"/>
          <w:lang w:eastAsia="zh-CN"/>
        </w:rPr>
      </w:pPr>
      <w:r>
        <w:t xml:space="preserve">2、绩效目标：宣传推介我区投资环境，展示对外开放新形象，谋划在京津冀、长三角、珠三角、东北等地区召开专题招商推介活动。                                                                                  </w:t>
      </w:r>
    </w:p>
    <w:p>
      <w:pPr>
        <w:pStyle w:val="23"/>
      </w:pPr>
      <w:r>
        <w:t>绩效指标：专题招商活动次数≥8次</w:t>
      </w:r>
    </w:p>
    <w:p>
      <w:pPr>
        <w:pStyle w:val="23"/>
      </w:pPr>
      <w:r>
        <w:t>3、绩效目标：以全力引进优质项目为方向，强化团组招商</w:t>
      </w:r>
    </w:p>
    <w:p>
      <w:pPr>
        <w:pStyle w:val="23"/>
      </w:pPr>
      <w:r>
        <w:t>绩效指标：小团组拜访客商次数≥6次</w:t>
      </w:r>
    </w:p>
    <w:p>
      <w:pPr>
        <w:pStyle w:val="23"/>
      </w:pPr>
      <w:r>
        <w:t>4、绩效目标：推动项目签约，加快落地一批投资大、见效快、带动强、发展好的优质项目</w:t>
      </w:r>
    </w:p>
    <w:p>
      <w:pPr>
        <w:pStyle w:val="23"/>
      </w:pPr>
      <w:r>
        <w:t>绩效指标：签约项目数量≥5个</w:t>
      </w:r>
    </w:p>
    <w:p>
      <w:pPr>
        <w:pStyle w:val="23"/>
      </w:pPr>
      <w:r>
        <w:t>5、绩效目标：积极对接国家发改委、国资委等部委，以及中信集团、中商集团、中国五矿等央企，开展央企入秦专题招商活动。</w:t>
      </w:r>
    </w:p>
    <w:p>
      <w:pPr>
        <w:pStyle w:val="23"/>
      </w:pPr>
      <w:r>
        <w:t>绩效指标：对接央企及其二三级子公司≥10家</w:t>
      </w:r>
    </w:p>
    <w:p>
      <w:pPr>
        <w:spacing w:line="500" w:lineRule="exact"/>
        <w:ind w:firstLine="560"/>
      </w:pPr>
      <w:r>
        <w:rPr>
          <w:rFonts w:eastAsia="方正仿宋_GBK"/>
          <w:color w:val="000000"/>
          <w:sz w:val="28"/>
        </w:rPr>
        <w:t>（三）工作保障措施</w:t>
      </w:r>
    </w:p>
    <w:p>
      <w:pPr>
        <w:pStyle w:val="24"/>
      </w:pPr>
      <w:r>
        <w:t>（</w:t>
      </w:r>
      <w:r>
        <w:rPr>
          <w:rFonts w:hint="eastAsia" w:eastAsiaTheme="minorEastAsia"/>
          <w:lang w:eastAsia="zh-CN"/>
        </w:rPr>
        <w:t>1</w:t>
      </w:r>
      <w:r>
        <w:t xml:space="preserve">）完善制度建设：制定完善部门预算绩效管理制度、财政资金使用管理办法、工作保障制度等，为全年预算绩效目标的实现奠定制度基础。    </w:t>
      </w:r>
    </w:p>
    <w:p>
      <w:pPr>
        <w:pStyle w:val="24"/>
      </w:pPr>
      <w:r>
        <w:t>（</w:t>
      </w:r>
      <w:r>
        <w:rPr>
          <w:rFonts w:hint="eastAsia" w:eastAsiaTheme="minorEastAsia"/>
          <w:lang w:eastAsia="zh-CN"/>
        </w:rPr>
        <w:t>2</w:t>
      </w:r>
      <w:r>
        <w:t>）加强支出管理：优化支出结构，编细编实部门预算，规范采购流程，提高资金使用效率，确保支出进度达标。以单位内控制度为依托，建立本单位的预算绩效管理工作考核机制。按照业务分类对口使用经费，依据经费的使用情况，由相关业务科室出具绩效考核报告，由办公室牵头，财务人员考核相关经费的支出情况。</w:t>
      </w:r>
    </w:p>
    <w:p>
      <w:pPr>
        <w:pStyle w:val="24"/>
      </w:pPr>
      <w:r>
        <w:t>（</w:t>
      </w:r>
      <w:r>
        <w:rPr>
          <w:rFonts w:hint="eastAsia" w:eastAsiaTheme="minorEastAsia"/>
          <w:lang w:eastAsia="zh-CN"/>
        </w:rPr>
        <w:t>3</w:t>
      </w:r>
      <w:r>
        <w:t>）加强绩效运行监控：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w:t>
      </w:r>
      <w:r>
        <w:rPr>
          <w:rFonts w:hint="eastAsia" w:eastAsiaTheme="minorEastAsia"/>
          <w:lang w:eastAsia="zh-CN"/>
        </w:rPr>
        <w:t>4</w:t>
      </w:r>
      <w:r>
        <w:t>）做好绩效自评：做好绩效自评工作，对绩效运行情况、重大支出决策、资产处置及其他重要经济业务事项的决策和执行进行督导，对专项经费进行监控并做好评价。</w:t>
      </w:r>
    </w:p>
    <w:p>
      <w:pPr>
        <w:pStyle w:val="24"/>
      </w:pPr>
      <w:r>
        <w:t>（</w:t>
      </w:r>
      <w:r>
        <w:rPr>
          <w:rFonts w:hint="eastAsia" w:eastAsiaTheme="minorEastAsia"/>
          <w:lang w:eastAsia="zh-CN"/>
        </w:rPr>
        <w:t>5</w:t>
      </w:r>
      <w:r>
        <w:t>）规范财务资产管理：完善部门内部财务管理制度，严格审批程序，加强固定资产登记、使用和报废处置管理，做到支出合理，物尽其用。</w:t>
      </w:r>
    </w:p>
    <w:p>
      <w:pPr>
        <w:pStyle w:val="24"/>
      </w:pPr>
      <w:r>
        <w:t>（</w:t>
      </w:r>
      <w:r>
        <w:rPr>
          <w:rFonts w:hint="eastAsia" w:eastAsiaTheme="minorEastAsia"/>
          <w:lang w:eastAsia="zh-CN"/>
        </w:rPr>
        <w:t>6</w:t>
      </w:r>
      <w:r>
        <w:t>）加强内部监督：加强内部监督。以本单位内控制度为依托，建立本部门的考核制度，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w:t>
      </w:r>
      <w:r>
        <w:rPr>
          <w:rFonts w:hint="eastAsia" w:eastAsiaTheme="minorEastAsia"/>
          <w:lang w:eastAsia="zh-CN"/>
        </w:rPr>
        <w:t>7</w:t>
      </w:r>
      <w:r>
        <w:t>）加强宣传培训调研等：加强绩效目标管理，提升自身能力。对局内人员进行预算绩效管理培训，不断提升能力，逐步建立完善本单位整体绩效目标指标体系。</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方正仿宋_GBK" w:hAnsi="方正仿宋_GBK" w:eastAsia="方正仿宋_GBK" w:cs="方正仿宋_GBK"/>
          <w:color w:val="000000"/>
          <w:sz w:val="28"/>
          <w:lang w:eastAsia="zh-CN"/>
        </w:rPr>
        <w:t>海港区招商和投资促进中心部门无专项资金绩效目标预算。</w:t>
      </w:r>
      <w:bookmarkStart w:id="20" w:name="_GoBack"/>
      <w:bookmarkEnd w:id="20"/>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1、招商工作经费绩效目标表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13030225P00002910001X</w:t>
            </w:r>
          </w:p>
        </w:tc>
        <w:tc>
          <w:tcPr>
            <w:tcW w:w="2835" w:type="dxa"/>
            <w:vAlign w:val="center"/>
          </w:tcPr>
          <w:p>
            <w:pPr>
              <w:pStyle w:val="11"/>
            </w:pPr>
            <w:r>
              <w:t>项目名称</w:t>
            </w:r>
          </w:p>
        </w:tc>
        <w:tc>
          <w:tcPr>
            <w:tcW w:w="6095" w:type="dxa"/>
            <w:gridSpan w:val="3"/>
            <w:vAlign w:val="center"/>
          </w:tcPr>
          <w:p>
            <w:pPr>
              <w:pStyle w:val="13"/>
            </w:pPr>
            <w:r>
              <w:t>招商工作经费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160.00</w:t>
            </w:r>
          </w:p>
        </w:tc>
        <w:tc>
          <w:tcPr>
            <w:tcW w:w="2835" w:type="dxa"/>
            <w:vAlign w:val="center"/>
          </w:tcPr>
          <w:p>
            <w:pPr>
              <w:pStyle w:val="11"/>
            </w:pPr>
            <w:r>
              <w:t>其中：财政    资金</w:t>
            </w:r>
          </w:p>
        </w:tc>
        <w:tc>
          <w:tcPr>
            <w:tcW w:w="2551" w:type="dxa"/>
            <w:vAlign w:val="center"/>
          </w:tcPr>
          <w:p>
            <w:pPr>
              <w:pStyle w:val="13"/>
            </w:pPr>
            <w:r>
              <w:t>160.00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宣传海港区，扩大海港区知名度，吸引客商来我区投资兴业，提升我区产业竞争力。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40.00</w:t>
            </w:r>
          </w:p>
        </w:tc>
        <w:tc>
          <w:tcPr>
            <w:tcW w:w="2835" w:type="dxa"/>
            <w:vAlign w:val="center"/>
          </w:tcPr>
          <w:p>
            <w:pPr>
              <w:pStyle w:val="14"/>
            </w:pPr>
            <w:r>
              <w:t>80.00</w:t>
            </w:r>
          </w:p>
        </w:tc>
        <w:tc>
          <w:tcPr>
            <w:tcW w:w="2551" w:type="dxa"/>
            <w:vAlign w:val="center"/>
          </w:tcPr>
          <w:p>
            <w:pPr>
              <w:pStyle w:val="14"/>
            </w:pPr>
            <w:r>
              <w:t>120.00</w:t>
            </w:r>
          </w:p>
        </w:tc>
        <w:tc>
          <w:tcPr>
            <w:tcW w:w="3544" w:type="dxa"/>
            <w:gridSpan w:val="2"/>
            <w:vAlign w:val="center"/>
          </w:tcPr>
          <w:p>
            <w:pPr>
              <w:pStyle w:val="14"/>
            </w:pPr>
            <w:r>
              <w:t>160.00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1.宣传海港区，扩大海港区知名度</w:t>
            </w:r>
          </w:p>
          <w:p>
            <w:pPr>
              <w:pStyle w:val="13"/>
            </w:pPr>
            <w:r>
              <w:t>2.吸引客商来我区投资兴业，提升我区产业竞争力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专题招商活动次数</w:t>
            </w:r>
          </w:p>
        </w:tc>
        <w:tc>
          <w:tcPr>
            <w:tcW w:w="5386" w:type="dxa"/>
            <w:vAlign w:val="center"/>
          </w:tcPr>
          <w:p>
            <w:pPr>
              <w:pStyle w:val="13"/>
            </w:pPr>
            <w:r>
              <w:t>自主举办专题招商活动的次数</w:t>
            </w:r>
          </w:p>
        </w:tc>
        <w:tc>
          <w:tcPr>
            <w:tcW w:w="2268" w:type="dxa"/>
            <w:vAlign w:val="center"/>
          </w:tcPr>
          <w:p>
            <w:pPr>
              <w:pStyle w:val="13"/>
            </w:pPr>
            <w:r>
              <w:t>≥2次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签约项目数量</w:t>
            </w:r>
          </w:p>
        </w:tc>
        <w:tc>
          <w:tcPr>
            <w:tcW w:w="5386" w:type="dxa"/>
            <w:vAlign w:val="center"/>
          </w:tcPr>
          <w:p>
            <w:pPr>
              <w:pStyle w:val="13"/>
            </w:pPr>
            <w:r>
              <w:t>每年签约项目的个数</w:t>
            </w:r>
          </w:p>
        </w:tc>
        <w:tc>
          <w:tcPr>
            <w:tcW w:w="2268" w:type="dxa"/>
            <w:vAlign w:val="center"/>
          </w:tcPr>
          <w:p>
            <w:pPr>
              <w:pStyle w:val="13"/>
            </w:pPr>
            <w:r>
              <w:t>≥5个</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参加国家省市招商活动次数</w:t>
            </w:r>
          </w:p>
        </w:tc>
        <w:tc>
          <w:tcPr>
            <w:tcW w:w="5386" w:type="dxa"/>
            <w:vAlign w:val="center"/>
          </w:tcPr>
          <w:p>
            <w:pPr>
              <w:pStyle w:val="13"/>
            </w:pPr>
            <w:r>
              <w:t>积极参加国家、省、市招商活动次数</w:t>
            </w:r>
          </w:p>
        </w:tc>
        <w:tc>
          <w:tcPr>
            <w:tcW w:w="2268" w:type="dxa"/>
            <w:vAlign w:val="center"/>
          </w:tcPr>
          <w:p>
            <w:pPr>
              <w:pStyle w:val="13"/>
            </w:pPr>
            <w:r>
              <w:t>≥6次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小团组拜访客商次数</w:t>
            </w:r>
          </w:p>
        </w:tc>
        <w:tc>
          <w:tcPr>
            <w:tcW w:w="5386" w:type="dxa"/>
            <w:vAlign w:val="center"/>
          </w:tcPr>
          <w:p>
            <w:pPr>
              <w:pStyle w:val="13"/>
            </w:pPr>
            <w:r>
              <w:t>区领导带队组织小团组招商活动拜访客商及企业</w:t>
            </w:r>
          </w:p>
        </w:tc>
        <w:tc>
          <w:tcPr>
            <w:tcW w:w="2268" w:type="dxa"/>
            <w:vAlign w:val="center"/>
          </w:tcPr>
          <w:p>
            <w:pPr>
              <w:pStyle w:val="13"/>
            </w:pPr>
            <w:r>
              <w:t>≥6次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任务完成率</w:t>
            </w:r>
          </w:p>
        </w:tc>
        <w:tc>
          <w:tcPr>
            <w:tcW w:w="5386" w:type="dxa"/>
            <w:vAlign w:val="center"/>
          </w:tcPr>
          <w:p>
            <w:pPr>
              <w:pStyle w:val="13"/>
            </w:pPr>
            <w:r>
              <w:t>招商任务完成率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2025年12月底前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tc>
        <w:tc>
          <w:tcPr>
            <w:tcW w:w="5386" w:type="dxa"/>
            <w:vAlign w:val="center"/>
          </w:tcPr>
          <w:p>
            <w:pPr>
              <w:pStyle w:val="13"/>
            </w:pPr>
            <w:r>
              <w:t>实际支出金额控制在预算范围内</w:t>
            </w:r>
          </w:p>
        </w:tc>
        <w:tc>
          <w:tcPr>
            <w:tcW w:w="2268" w:type="dxa"/>
            <w:vAlign w:val="center"/>
          </w:tcPr>
          <w:p>
            <w:pPr>
              <w:pStyle w:val="13"/>
            </w:pPr>
            <w:r>
              <w:t>≤200万元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提高了海港区知名度</w:t>
            </w:r>
          </w:p>
        </w:tc>
        <w:tc>
          <w:tcPr>
            <w:tcW w:w="5386" w:type="dxa"/>
            <w:vAlign w:val="center"/>
          </w:tcPr>
          <w:p>
            <w:pPr>
              <w:pStyle w:val="13"/>
            </w:pPr>
            <w:r>
              <w:t>通过招商活动提高了海港区知名度</w:t>
            </w:r>
          </w:p>
        </w:tc>
        <w:tc>
          <w:tcPr>
            <w:tcW w:w="2268" w:type="dxa"/>
            <w:vAlign w:val="center"/>
          </w:tcPr>
          <w:p>
            <w:pPr>
              <w:pStyle w:val="13"/>
            </w:pPr>
            <w:r>
              <w:t>比上年有所提高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推动项目签约落地</w:t>
            </w:r>
          </w:p>
        </w:tc>
        <w:tc>
          <w:tcPr>
            <w:tcW w:w="5386" w:type="dxa"/>
            <w:vAlign w:val="center"/>
          </w:tcPr>
          <w:p>
            <w:pPr>
              <w:pStyle w:val="13"/>
            </w:pPr>
            <w:r>
              <w:t>项目签约落地，可推动我区经济效益稳步增长</w:t>
            </w:r>
          </w:p>
        </w:tc>
        <w:tc>
          <w:tcPr>
            <w:tcW w:w="2268" w:type="dxa"/>
            <w:vAlign w:val="center"/>
          </w:tcPr>
          <w:p>
            <w:pPr>
              <w:pStyle w:val="13"/>
            </w:pPr>
            <w:r>
              <w:t>比上年有所提高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调查中使用人员满意和较满意的数量占调查总人数的比率</w:t>
            </w:r>
          </w:p>
        </w:tc>
        <w:tc>
          <w:tcPr>
            <w:tcW w:w="2268" w:type="dxa"/>
            <w:vAlign w:val="center"/>
          </w:tcPr>
          <w:p>
            <w:pPr>
              <w:pStyle w:val="13"/>
            </w:pPr>
            <w:r>
              <w:t>≥95%</w:t>
            </w:r>
          </w:p>
        </w:tc>
        <w:tc>
          <w:tcPr>
            <w:tcW w:w="1276" w:type="dxa"/>
            <w:vAlign w:val="center"/>
          </w:tcPr>
          <w:p>
            <w:pPr>
              <w:pStyle w:val="13"/>
            </w:pPr>
            <w:r>
              <w:t>年度工作计划</w:t>
            </w:r>
          </w:p>
        </w:tc>
      </w:tr>
    </w:tbl>
    <w:p>
      <w:pPr>
        <w:sectPr>
          <w:type w:val="continuous"/>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320秦皇岛市海港区招商和投资促进中心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20.05</w:t>
            </w:r>
          </w:p>
        </w:tc>
        <w:tc>
          <w:tcPr>
            <w:tcW w:w="964" w:type="dxa"/>
            <w:vAlign w:val="center"/>
          </w:tcPr>
          <w:p>
            <w:pPr>
              <w:pStyle w:val="16"/>
            </w:pPr>
            <w:r>
              <w:t>20.05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pPr>
            <w:r>
              <w:t>秦皇岛市海港区招商和投资促进中心本级小计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20.05</w:t>
            </w:r>
          </w:p>
        </w:tc>
        <w:tc>
          <w:tcPr>
            <w:tcW w:w="964" w:type="dxa"/>
            <w:vAlign w:val="center"/>
          </w:tcPr>
          <w:p>
            <w:pPr>
              <w:pStyle w:val="16"/>
            </w:pPr>
            <w:r>
              <w:t>20.05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公用经费二</w:t>
            </w:r>
          </w:p>
        </w:tc>
        <w:tc>
          <w:tcPr>
            <w:tcW w:w="964" w:type="dxa"/>
            <w:vAlign w:val="center"/>
          </w:tcPr>
          <w:p>
            <w:pPr>
              <w:pStyle w:val="12"/>
            </w:pPr>
            <w:r>
              <w:t>9.69</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辆</w:t>
            </w:r>
          </w:p>
        </w:tc>
        <w:tc>
          <w:tcPr>
            <w:tcW w:w="850" w:type="dxa"/>
            <w:vAlign w:val="center"/>
          </w:tcPr>
          <w:p>
            <w:pPr>
              <w:pStyle w:val="12"/>
            </w:pPr>
            <w:r>
              <w:t>2</w:t>
            </w:r>
          </w:p>
        </w:tc>
        <w:tc>
          <w:tcPr>
            <w:tcW w:w="850" w:type="dxa"/>
            <w:vAlign w:val="center"/>
          </w:tcPr>
          <w:p>
            <w:pPr>
              <w:pStyle w:val="12"/>
            </w:pPr>
            <w:r>
              <w:t>0.26</w:t>
            </w:r>
          </w:p>
        </w:tc>
        <w:tc>
          <w:tcPr>
            <w:tcW w:w="964" w:type="dxa"/>
            <w:vAlign w:val="center"/>
          </w:tcPr>
          <w:p>
            <w:pPr>
              <w:pStyle w:val="12"/>
            </w:pPr>
            <w:r>
              <w:t>0.51</w:t>
            </w:r>
          </w:p>
        </w:tc>
        <w:tc>
          <w:tcPr>
            <w:tcW w:w="964" w:type="dxa"/>
            <w:vAlign w:val="center"/>
          </w:tcPr>
          <w:p>
            <w:pPr>
              <w:pStyle w:val="12"/>
            </w:pPr>
            <w:r>
              <w:t>0.51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公用经费二</w:t>
            </w:r>
          </w:p>
        </w:tc>
        <w:tc>
          <w:tcPr>
            <w:tcW w:w="964" w:type="dxa"/>
            <w:vAlign w:val="center"/>
          </w:tcPr>
          <w:p>
            <w:pPr>
              <w:pStyle w:val="12"/>
            </w:pPr>
            <w:r>
              <w:t>9.69</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辆</w:t>
            </w:r>
          </w:p>
        </w:tc>
        <w:tc>
          <w:tcPr>
            <w:tcW w:w="850" w:type="dxa"/>
            <w:vAlign w:val="center"/>
          </w:tcPr>
          <w:p>
            <w:pPr>
              <w:pStyle w:val="12"/>
            </w:pPr>
            <w:r>
              <w:t>2</w:t>
            </w:r>
          </w:p>
        </w:tc>
        <w:tc>
          <w:tcPr>
            <w:tcW w:w="850" w:type="dxa"/>
            <w:vAlign w:val="center"/>
          </w:tcPr>
          <w:p>
            <w:pPr>
              <w:pStyle w:val="12"/>
            </w:pPr>
            <w:r>
              <w:t>1.75</w:t>
            </w:r>
          </w:p>
        </w:tc>
        <w:tc>
          <w:tcPr>
            <w:tcW w:w="964" w:type="dxa"/>
            <w:vAlign w:val="center"/>
          </w:tcPr>
          <w:p>
            <w:pPr>
              <w:pStyle w:val="12"/>
            </w:pPr>
            <w:r>
              <w:t>3.50</w:t>
            </w:r>
          </w:p>
        </w:tc>
        <w:tc>
          <w:tcPr>
            <w:tcW w:w="964" w:type="dxa"/>
            <w:vAlign w:val="center"/>
          </w:tcPr>
          <w:p>
            <w:pPr>
              <w:pStyle w:val="12"/>
            </w:pPr>
            <w:r>
              <w:t>3.50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3"/>
            </w:pPr>
            <w:r>
              <w:t>公用经费二</w:t>
            </w:r>
          </w:p>
        </w:tc>
        <w:tc>
          <w:tcPr>
            <w:tcW w:w="964" w:type="dxa"/>
            <w:vAlign w:val="center"/>
          </w:tcPr>
          <w:p>
            <w:pPr>
              <w:pStyle w:val="12"/>
            </w:pPr>
            <w:r>
              <w:t>9.69</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辆</w:t>
            </w:r>
          </w:p>
        </w:tc>
        <w:tc>
          <w:tcPr>
            <w:tcW w:w="850" w:type="dxa"/>
            <w:vAlign w:val="center"/>
          </w:tcPr>
          <w:p>
            <w:pPr>
              <w:pStyle w:val="12"/>
            </w:pPr>
            <w:r>
              <w:t>2</w:t>
            </w:r>
          </w:p>
        </w:tc>
        <w:tc>
          <w:tcPr>
            <w:tcW w:w="850" w:type="dxa"/>
            <w:vAlign w:val="center"/>
          </w:tcPr>
          <w:p>
            <w:pPr>
              <w:pStyle w:val="12"/>
            </w:pPr>
            <w:r>
              <w:t>0.25</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公用经费一</w:t>
            </w:r>
          </w:p>
        </w:tc>
        <w:tc>
          <w:tcPr>
            <w:tcW w:w="964" w:type="dxa"/>
            <w:vAlign w:val="center"/>
          </w:tcPr>
          <w:p>
            <w:pPr>
              <w:pStyle w:val="12"/>
            </w:pPr>
            <w:r>
              <w:t>3.80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30</w:t>
            </w:r>
          </w:p>
        </w:tc>
        <w:tc>
          <w:tcPr>
            <w:tcW w:w="850" w:type="dxa"/>
            <w:vAlign w:val="center"/>
          </w:tcPr>
          <w:p>
            <w:pPr>
              <w:pStyle w:val="12"/>
            </w:pPr>
            <w:r>
              <w:t>0.02</w:t>
            </w:r>
          </w:p>
        </w:tc>
        <w:tc>
          <w:tcPr>
            <w:tcW w:w="964" w:type="dxa"/>
            <w:vAlign w:val="center"/>
          </w:tcPr>
          <w:p>
            <w:pPr>
              <w:pStyle w:val="12"/>
            </w:pPr>
            <w:r>
              <w:t>0.54</w:t>
            </w:r>
          </w:p>
        </w:tc>
        <w:tc>
          <w:tcPr>
            <w:tcW w:w="964" w:type="dxa"/>
            <w:vAlign w:val="center"/>
          </w:tcPr>
          <w:p>
            <w:pPr>
              <w:pStyle w:val="12"/>
            </w:pPr>
            <w:r>
              <w:t>0.54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招商工作经费</w:t>
            </w:r>
          </w:p>
        </w:tc>
        <w:tc>
          <w:tcPr>
            <w:tcW w:w="964" w:type="dxa"/>
            <w:vAlign w:val="center"/>
          </w:tcPr>
          <w:p>
            <w:pPr>
              <w:pStyle w:val="12"/>
            </w:pPr>
            <w:r>
              <w:t>160.00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10</w:t>
            </w:r>
          </w:p>
        </w:tc>
        <w:tc>
          <w:tcPr>
            <w:tcW w:w="850" w:type="dxa"/>
            <w:vAlign w:val="center"/>
          </w:tcPr>
          <w:p>
            <w:pPr>
              <w:pStyle w:val="12"/>
            </w:pPr>
            <w:r>
              <w:t>1.50</w:t>
            </w:r>
          </w:p>
        </w:tc>
        <w:tc>
          <w:tcPr>
            <w:tcW w:w="964"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秦皇岛市海港区招商和投资促进中心（含所属单位）上年末固定资产金额为4.46万元（详见下表）。本年度拟购置固定资产总额为0.00万元，已按要求列入政府采购预算，详见政府采购预算表。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320秦皇岛市海港区招商和投资促进中心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3"/>
            </w:pPr>
            <w:r>
              <w:t>4、其他固定资产</w:t>
            </w:r>
          </w:p>
        </w:tc>
        <w:tc>
          <w:tcPr>
            <w:tcW w:w="2835" w:type="dxa"/>
            <w:vAlign w:val="center"/>
          </w:tcPr>
          <w:p>
            <w:pPr>
              <w:pStyle w:val="14"/>
            </w:pPr>
            <w:r>
              <w:t>11</w:t>
            </w:r>
          </w:p>
        </w:tc>
        <w:tc>
          <w:tcPr>
            <w:tcW w:w="2835" w:type="dxa"/>
            <w:vAlign w:val="center"/>
          </w:tcPr>
          <w:p>
            <w:pPr>
              <w:pStyle w:val="12"/>
            </w:pPr>
            <w:r>
              <w:t>4.46</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B7C87"/>
    <w:rsid w:val="00334B8D"/>
    <w:rsid w:val="00372DD5"/>
    <w:rsid w:val="005043ED"/>
    <w:rsid w:val="005B7C87"/>
    <w:rsid w:val="1FFEFC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1885</Words>
  <Characters>10747</Characters>
  <Lines>89</Lines>
  <Paragraphs>25</Paragraphs>
  <TotalTime>1</TotalTime>
  <ScaleCrop>false</ScaleCrop>
  <LinksUpToDate>false</LinksUpToDate>
  <CharactersWithSpaces>12607</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2025-04-03T18:32:00Z</dcterms:created>
  <dc:creator>uos</dc:creator>
  <cp:lastModifiedBy>uos</cp:lastModifiedBy>
  <dcterms:modified xsi:type="dcterms:W3CDTF">2025-04-03T14:19:21Z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1930F34A9FFCF6B16928EE679A960581</vt:lpwstr>
  </property>
</Properties>
</file>