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241秦皇岛市海港区档案馆</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245.08</w:t>
            </w:r>
          </w:p>
        </w:tc>
        <w:tc>
          <w:tcPr>
            <w:tcW w:w="4535" w:type="dxa"/>
            <w:vAlign w:val="center"/>
          </w:tcPr>
          <w:p>
            <w:pPr>
              <w:pStyle w:val="13"/>
            </w:pPr>
            <w:r>
              <w:t>一、一般公共服务支出</w:t>
            </w:r>
          </w:p>
        </w:tc>
        <w:tc>
          <w:tcPr>
            <w:tcW w:w="2126" w:type="dxa"/>
            <w:vAlign w:val="center"/>
          </w:tcPr>
          <w:p>
            <w:pPr>
              <w:pStyle w:val="12"/>
            </w:pPr>
            <w:r>
              <w:t>176.87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245.08</w:t>
            </w:r>
          </w:p>
        </w:tc>
        <w:tc>
          <w:tcPr>
            <w:tcW w:w="4535" w:type="dxa"/>
            <w:vAlign w:val="center"/>
          </w:tcPr>
          <w:p>
            <w:pPr>
              <w:pStyle w:val="15"/>
            </w:pPr>
            <w:r>
              <w:t>本年支出合计</w:t>
            </w:r>
          </w:p>
        </w:tc>
        <w:tc>
          <w:tcPr>
            <w:tcW w:w="2126" w:type="dxa"/>
            <w:vAlign w:val="center"/>
          </w:tcPr>
          <w:p>
            <w:pPr>
              <w:pStyle w:val="16"/>
            </w:pPr>
            <w:r>
              <w:t>245.08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245.08</w:t>
            </w:r>
          </w:p>
        </w:tc>
        <w:tc>
          <w:tcPr>
            <w:tcW w:w="4535" w:type="dxa"/>
            <w:vAlign w:val="center"/>
          </w:tcPr>
          <w:p>
            <w:pPr>
              <w:pStyle w:val="15"/>
            </w:pPr>
            <w:r>
              <w:t>支出总计</w:t>
            </w:r>
          </w:p>
        </w:tc>
        <w:tc>
          <w:tcPr>
            <w:tcW w:w="2126" w:type="dxa"/>
            <w:vAlign w:val="center"/>
          </w:tcPr>
          <w:p>
            <w:pPr>
              <w:pStyle w:val="16"/>
            </w:pPr>
            <w:r>
              <w:t>245.08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241秦皇岛市海港区档案馆</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245.08</w:t>
            </w:r>
          </w:p>
        </w:tc>
        <w:tc>
          <w:tcPr>
            <w:tcW w:w="1134" w:type="dxa"/>
            <w:vAlign w:val="center"/>
          </w:tcPr>
          <w:p>
            <w:pPr>
              <w:pStyle w:val="16"/>
            </w:pPr>
            <w:r>
              <w:t>245.08</w:t>
            </w:r>
          </w:p>
        </w:tc>
        <w:tc>
          <w:tcPr>
            <w:tcW w:w="1134" w:type="dxa"/>
            <w:vAlign w:val="center"/>
          </w:tcPr>
          <w:p>
            <w:pPr>
              <w:pStyle w:val="16"/>
            </w:pPr>
            <w:r>
              <w:t>245.08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176.87</w:t>
            </w:r>
          </w:p>
        </w:tc>
        <w:tc>
          <w:tcPr>
            <w:tcW w:w="1134" w:type="dxa"/>
            <w:vAlign w:val="center"/>
          </w:tcPr>
          <w:p>
            <w:pPr>
              <w:pStyle w:val="12"/>
            </w:pPr>
            <w:r>
              <w:t>176.87</w:t>
            </w:r>
          </w:p>
        </w:tc>
        <w:tc>
          <w:tcPr>
            <w:tcW w:w="1134" w:type="dxa"/>
            <w:vAlign w:val="center"/>
          </w:tcPr>
          <w:p>
            <w:pPr>
              <w:pStyle w:val="12"/>
            </w:pPr>
            <w:r>
              <w:t>176.87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20126</w:t>
            </w:r>
          </w:p>
        </w:tc>
        <w:tc>
          <w:tcPr>
            <w:tcW w:w="1559" w:type="dxa"/>
            <w:vAlign w:val="center"/>
          </w:tcPr>
          <w:p>
            <w:pPr>
              <w:pStyle w:val="13"/>
            </w:pPr>
            <w:r>
              <w:t>档案事务</w:t>
            </w:r>
          </w:p>
        </w:tc>
        <w:tc>
          <w:tcPr>
            <w:tcW w:w="1134" w:type="dxa"/>
            <w:vAlign w:val="center"/>
          </w:tcPr>
          <w:p>
            <w:pPr>
              <w:pStyle w:val="12"/>
            </w:pPr>
            <w:r>
              <w:t>176.87</w:t>
            </w:r>
          </w:p>
        </w:tc>
        <w:tc>
          <w:tcPr>
            <w:tcW w:w="1134" w:type="dxa"/>
            <w:vAlign w:val="center"/>
          </w:tcPr>
          <w:p>
            <w:pPr>
              <w:pStyle w:val="12"/>
            </w:pPr>
            <w:r>
              <w:t>176.87</w:t>
            </w:r>
          </w:p>
        </w:tc>
        <w:tc>
          <w:tcPr>
            <w:tcW w:w="1134" w:type="dxa"/>
            <w:vAlign w:val="center"/>
          </w:tcPr>
          <w:p>
            <w:pPr>
              <w:pStyle w:val="12"/>
            </w:pPr>
            <w:r>
              <w:t>176.87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2012601</w:t>
            </w:r>
          </w:p>
        </w:tc>
        <w:tc>
          <w:tcPr>
            <w:tcW w:w="1559" w:type="dxa"/>
            <w:vAlign w:val="center"/>
          </w:tcPr>
          <w:p>
            <w:pPr>
              <w:pStyle w:val="13"/>
            </w:pPr>
            <w:r>
              <w:t>行政运行</w:t>
            </w:r>
          </w:p>
        </w:tc>
        <w:tc>
          <w:tcPr>
            <w:tcW w:w="1134" w:type="dxa"/>
            <w:vAlign w:val="center"/>
          </w:tcPr>
          <w:p>
            <w:pPr>
              <w:pStyle w:val="12"/>
            </w:pPr>
            <w:r>
              <w:t>161.87</w:t>
            </w:r>
          </w:p>
        </w:tc>
        <w:tc>
          <w:tcPr>
            <w:tcW w:w="1134" w:type="dxa"/>
            <w:vAlign w:val="center"/>
          </w:tcPr>
          <w:p>
            <w:pPr>
              <w:pStyle w:val="12"/>
            </w:pPr>
            <w:r>
              <w:t>161.87</w:t>
            </w:r>
          </w:p>
        </w:tc>
        <w:tc>
          <w:tcPr>
            <w:tcW w:w="1134" w:type="dxa"/>
            <w:vAlign w:val="center"/>
          </w:tcPr>
          <w:p>
            <w:pPr>
              <w:pStyle w:val="12"/>
            </w:pPr>
            <w:r>
              <w:t>161.87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2012602</w:t>
            </w:r>
          </w:p>
        </w:tc>
        <w:tc>
          <w:tcPr>
            <w:tcW w:w="1559" w:type="dxa"/>
            <w:vAlign w:val="center"/>
          </w:tcPr>
          <w:p>
            <w:pPr>
              <w:pStyle w:val="13"/>
            </w:pPr>
            <w:r>
              <w:t>一般行政管理事务</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41.90</w:t>
            </w:r>
          </w:p>
        </w:tc>
        <w:tc>
          <w:tcPr>
            <w:tcW w:w="1134" w:type="dxa"/>
            <w:vAlign w:val="center"/>
          </w:tcPr>
          <w:p>
            <w:pPr>
              <w:pStyle w:val="12"/>
            </w:pPr>
            <w:r>
              <w:t>41.90</w:t>
            </w:r>
          </w:p>
        </w:tc>
        <w:tc>
          <w:tcPr>
            <w:tcW w:w="1134" w:type="dxa"/>
            <w:vAlign w:val="center"/>
          </w:tcPr>
          <w:p>
            <w:pPr>
              <w:pStyle w:val="12"/>
            </w:pPr>
            <w:r>
              <w:t>41.90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41.90</w:t>
            </w:r>
          </w:p>
        </w:tc>
        <w:tc>
          <w:tcPr>
            <w:tcW w:w="1134" w:type="dxa"/>
            <w:vAlign w:val="center"/>
          </w:tcPr>
          <w:p>
            <w:pPr>
              <w:pStyle w:val="12"/>
            </w:pPr>
            <w:r>
              <w:t>41.90</w:t>
            </w:r>
          </w:p>
        </w:tc>
        <w:tc>
          <w:tcPr>
            <w:tcW w:w="1134" w:type="dxa"/>
            <w:vAlign w:val="center"/>
          </w:tcPr>
          <w:p>
            <w:pPr>
              <w:pStyle w:val="12"/>
            </w:pPr>
            <w:r>
              <w:t>41.90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24.37</w:t>
            </w:r>
          </w:p>
        </w:tc>
        <w:tc>
          <w:tcPr>
            <w:tcW w:w="1134" w:type="dxa"/>
            <w:vAlign w:val="center"/>
          </w:tcPr>
          <w:p>
            <w:pPr>
              <w:pStyle w:val="12"/>
            </w:pPr>
            <w:r>
              <w:t>24.37</w:t>
            </w:r>
          </w:p>
        </w:tc>
        <w:tc>
          <w:tcPr>
            <w:tcW w:w="1134" w:type="dxa"/>
            <w:vAlign w:val="center"/>
          </w:tcPr>
          <w:p>
            <w:pPr>
              <w:pStyle w:val="12"/>
            </w:pPr>
            <w:r>
              <w:t>24.37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17.53</w:t>
            </w:r>
          </w:p>
        </w:tc>
        <w:tc>
          <w:tcPr>
            <w:tcW w:w="1134" w:type="dxa"/>
            <w:vAlign w:val="center"/>
          </w:tcPr>
          <w:p>
            <w:pPr>
              <w:pStyle w:val="12"/>
            </w:pPr>
            <w:r>
              <w:t>17.53</w:t>
            </w:r>
          </w:p>
        </w:tc>
        <w:tc>
          <w:tcPr>
            <w:tcW w:w="1134" w:type="dxa"/>
            <w:vAlign w:val="center"/>
          </w:tcPr>
          <w:p>
            <w:pPr>
              <w:pStyle w:val="12"/>
            </w:pPr>
            <w:r>
              <w:t>17.53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12.75</w:t>
            </w:r>
          </w:p>
        </w:tc>
        <w:tc>
          <w:tcPr>
            <w:tcW w:w="1134" w:type="dxa"/>
            <w:vAlign w:val="center"/>
          </w:tcPr>
          <w:p>
            <w:pPr>
              <w:pStyle w:val="12"/>
            </w:pPr>
            <w:r>
              <w:t>12.75</w:t>
            </w:r>
          </w:p>
        </w:tc>
        <w:tc>
          <w:tcPr>
            <w:tcW w:w="1134" w:type="dxa"/>
            <w:vAlign w:val="center"/>
          </w:tcPr>
          <w:p>
            <w:pPr>
              <w:pStyle w:val="12"/>
            </w:pPr>
            <w:r>
              <w:t>12.75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12.75</w:t>
            </w:r>
          </w:p>
        </w:tc>
        <w:tc>
          <w:tcPr>
            <w:tcW w:w="1134" w:type="dxa"/>
            <w:vAlign w:val="center"/>
          </w:tcPr>
          <w:p>
            <w:pPr>
              <w:pStyle w:val="12"/>
            </w:pPr>
            <w:r>
              <w:t>12.75</w:t>
            </w:r>
          </w:p>
        </w:tc>
        <w:tc>
          <w:tcPr>
            <w:tcW w:w="1134" w:type="dxa"/>
            <w:vAlign w:val="center"/>
          </w:tcPr>
          <w:p>
            <w:pPr>
              <w:pStyle w:val="12"/>
            </w:pPr>
            <w:r>
              <w:t>12.75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5.99</w:t>
            </w:r>
          </w:p>
        </w:tc>
        <w:tc>
          <w:tcPr>
            <w:tcW w:w="1134" w:type="dxa"/>
            <w:vAlign w:val="center"/>
          </w:tcPr>
          <w:p>
            <w:pPr>
              <w:pStyle w:val="12"/>
            </w:pPr>
            <w:r>
              <w:t>5.99</w:t>
            </w:r>
          </w:p>
        </w:tc>
        <w:tc>
          <w:tcPr>
            <w:tcW w:w="1134" w:type="dxa"/>
            <w:vAlign w:val="center"/>
          </w:tcPr>
          <w:p>
            <w:pPr>
              <w:pStyle w:val="12"/>
            </w:pPr>
            <w:r>
              <w:t>5.99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6.76</w:t>
            </w:r>
          </w:p>
        </w:tc>
        <w:tc>
          <w:tcPr>
            <w:tcW w:w="1134" w:type="dxa"/>
            <w:vAlign w:val="center"/>
          </w:tcPr>
          <w:p>
            <w:pPr>
              <w:pStyle w:val="12"/>
            </w:pPr>
            <w:r>
              <w:t>6.76</w:t>
            </w:r>
          </w:p>
        </w:tc>
        <w:tc>
          <w:tcPr>
            <w:tcW w:w="1134" w:type="dxa"/>
            <w:vAlign w:val="center"/>
          </w:tcPr>
          <w:p>
            <w:pPr>
              <w:pStyle w:val="12"/>
            </w:pPr>
            <w:r>
              <w:t>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13.56</w:t>
            </w:r>
          </w:p>
        </w:tc>
        <w:tc>
          <w:tcPr>
            <w:tcW w:w="1134" w:type="dxa"/>
            <w:vAlign w:val="center"/>
          </w:tcPr>
          <w:p>
            <w:pPr>
              <w:pStyle w:val="12"/>
            </w:pPr>
            <w:r>
              <w:t>13.56</w:t>
            </w:r>
          </w:p>
        </w:tc>
        <w:tc>
          <w:tcPr>
            <w:tcW w:w="1134" w:type="dxa"/>
            <w:vAlign w:val="center"/>
          </w:tcPr>
          <w:p>
            <w:pPr>
              <w:pStyle w:val="12"/>
            </w:pPr>
            <w:r>
              <w:t>13.56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13.56</w:t>
            </w:r>
          </w:p>
        </w:tc>
        <w:tc>
          <w:tcPr>
            <w:tcW w:w="1134" w:type="dxa"/>
            <w:vAlign w:val="center"/>
          </w:tcPr>
          <w:p>
            <w:pPr>
              <w:pStyle w:val="12"/>
            </w:pPr>
            <w:r>
              <w:t>13.56</w:t>
            </w:r>
          </w:p>
        </w:tc>
        <w:tc>
          <w:tcPr>
            <w:tcW w:w="1134" w:type="dxa"/>
            <w:vAlign w:val="center"/>
          </w:tcPr>
          <w:p>
            <w:pPr>
              <w:pStyle w:val="12"/>
            </w:pPr>
            <w:r>
              <w:t>13.56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13.56</w:t>
            </w:r>
          </w:p>
        </w:tc>
        <w:tc>
          <w:tcPr>
            <w:tcW w:w="1134" w:type="dxa"/>
            <w:vAlign w:val="center"/>
          </w:tcPr>
          <w:p>
            <w:pPr>
              <w:pStyle w:val="12"/>
            </w:pPr>
            <w:r>
              <w:t>13.56</w:t>
            </w:r>
          </w:p>
        </w:tc>
        <w:tc>
          <w:tcPr>
            <w:tcW w:w="1134" w:type="dxa"/>
            <w:vAlign w:val="center"/>
          </w:tcPr>
          <w:p>
            <w:pPr>
              <w:pStyle w:val="12"/>
            </w:pPr>
            <w:r>
              <w:t>13.56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245.08</w:t>
            </w:r>
          </w:p>
        </w:tc>
        <w:tc>
          <w:tcPr>
            <w:tcW w:w="1361" w:type="dxa"/>
            <w:vAlign w:val="center"/>
          </w:tcPr>
          <w:p>
            <w:pPr>
              <w:pStyle w:val="16"/>
            </w:pPr>
            <w:r>
              <w:t>230.08</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176.87</w:t>
            </w:r>
          </w:p>
        </w:tc>
        <w:tc>
          <w:tcPr>
            <w:tcW w:w="1361" w:type="dxa"/>
            <w:vAlign w:val="center"/>
          </w:tcPr>
          <w:p>
            <w:pPr>
              <w:pStyle w:val="12"/>
            </w:pPr>
            <w:r>
              <w:t>161.87</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20126</w:t>
            </w:r>
          </w:p>
        </w:tc>
        <w:tc>
          <w:tcPr>
            <w:tcW w:w="4535" w:type="dxa"/>
            <w:vAlign w:val="center"/>
          </w:tcPr>
          <w:p>
            <w:pPr>
              <w:pStyle w:val="13"/>
            </w:pPr>
            <w:r>
              <w:t>档案事务</w:t>
            </w:r>
          </w:p>
        </w:tc>
        <w:tc>
          <w:tcPr>
            <w:tcW w:w="1361" w:type="dxa"/>
            <w:vAlign w:val="center"/>
          </w:tcPr>
          <w:p>
            <w:pPr>
              <w:pStyle w:val="12"/>
            </w:pPr>
            <w:r>
              <w:t>176.87</w:t>
            </w:r>
          </w:p>
        </w:tc>
        <w:tc>
          <w:tcPr>
            <w:tcW w:w="1361" w:type="dxa"/>
            <w:vAlign w:val="center"/>
          </w:tcPr>
          <w:p>
            <w:pPr>
              <w:pStyle w:val="12"/>
            </w:pPr>
            <w:r>
              <w:t>161.87</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2012601</w:t>
            </w:r>
          </w:p>
        </w:tc>
        <w:tc>
          <w:tcPr>
            <w:tcW w:w="4535" w:type="dxa"/>
            <w:vAlign w:val="center"/>
          </w:tcPr>
          <w:p>
            <w:pPr>
              <w:pStyle w:val="13"/>
            </w:pPr>
            <w:r>
              <w:t>行政运行</w:t>
            </w:r>
          </w:p>
        </w:tc>
        <w:tc>
          <w:tcPr>
            <w:tcW w:w="1361" w:type="dxa"/>
            <w:vAlign w:val="center"/>
          </w:tcPr>
          <w:p>
            <w:pPr>
              <w:pStyle w:val="12"/>
            </w:pPr>
            <w:r>
              <w:t>161.87</w:t>
            </w:r>
          </w:p>
        </w:tc>
        <w:tc>
          <w:tcPr>
            <w:tcW w:w="1361" w:type="dxa"/>
            <w:vAlign w:val="center"/>
          </w:tcPr>
          <w:p>
            <w:pPr>
              <w:pStyle w:val="12"/>
            </w:pPr>
            <w:r>
              <w:t>161.87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2012602</w:t>
            </w:r>
          </w:p>
        </w:tc>
        <w:tc>
          <w:tcPr>
            <w:tcW w:w="4535" w:type="dxa"/>
            <w:vAlign w:val="center"/>
          </w:tcPr>
          <w:p>
            <w:pPr>
              <w:pStyle w:val="13"/>
            </w:pPr>
            <w:r>
              <w:t>一般行政管理事务</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41.90</w:t>
            </w:r>
          </w:p>
        </w:tc>
        <w:tc>
          <w:tcPr>
            <w:tcW w:w="1361" w:type="dxa"/>
            <w:vAlign w:val="center"/>
          </w:tcPr>
          <w:p>
            <w:pPr>
              <w:pStyle w:val="12"/>
            </w:pPr>
            <w:r>
              <w:t>41.90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41.90</w:t>
            </w:r>
          </w:p>
        </w:tc>
        <w:tc>
          <w:tcPr>
            <w:tcW w:w="1361" w:type="dxa"/>
            <w:vAlign w:val="center"/>
          </w:tcPr>
          <w:p>
            <w:pPr>
              <w:pStyle w:val="12"/>
            </w:pPr>
            <w:r>
              <w:t>41.90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24.37</w:t>
            </w:r>
          </w:p>
        </w:tc>
        <w:tc>
          <w:tcPr>
            <w:tcW w:w="1361" w:type="dxa"/>
            <w:vAlign w:val="center"/>
          </w:tcPr>
          <w:p>
            <w:pPr>
              <w:pStyle w:val="12"/>
            </w:pPr>
            <w:r>
              <w:t>24.37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17.53</w:t>
            </w:r>
          </w:p>
        </w:tc>
        <w:tc>
          <w:tcPr>
            <w:tcW w:w="1361" w:type="dxa"/>
            <w:vAlign w:val="center"/>
          </w:tcPr>
          <w:p>
            <w:pPr>
              <w:pStyle w:val="12"/>
            </w:pPr>
            <w:r>
              <w:t>17.53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12.75</w:t>
            </w:r>
          </w:p>
        </w:tc>
        <w:tc>
          <w:tcPr>
            <w:tcW w:w="1361" w:type="dxa"/>
            <w:vAlign w:val="center"/>
          </w:tcPr>
          <w:p>
            <w:pPr>
              <w:pStyle w:val="12"/>
            </w:pPr>
            <w:r>
              <w:t>12.75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12.75</w:t>
            </w:r>
          </w:p>
        </w:tc>
        <w:tc>
          <w:tcPr>
            <w:tcW w:w="1361" w:type="dxa"/>
            <w:vAlign w:val="center"/>
          </w:tcPr>
          <w:p>
            <w:pPr>
              <w:pStyle w:val="12"/>
            </w:pPr>
            <w:r>
              <w:t>12.75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5.99</w:t>
            </w:r>
          </w:p>
        </w:tc>
        <w:tc>
          <w:tcPr>
            <w:tcW w:w="1361" w:type="dxa"/>
            <w:vAlign w:val="center"/>
          </w:tcPr>
          <w:p>
            <w:pPr>
              <w:pStyle w:val="12"/>
            </w:pPr>
            <w:r>
              <w:t>5.99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6.76</w:t>
            </w:r>
          </w:p>
        </w:tc>
        <w:tc>
          <w:tcPr>
            <w:tcW w:w="1361" w:type="dxa"/>
            <w:vAlign w:val="center"/>
          </w:tcPr>
          <w:p>
            <w:pPr>
              <w:pStyle w:val="12"/>
            </w:pPr>
            <w:r>
              <w:t>6.76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13.56</w:t>
            </w:r>
          </w:p>
        </w:tc>
        <w:tc>
          <w:tcPr>
            <w:tcW w:w="1361" w:type="dxa"/>
            <w:vAlign w:val="center"/>
          </w:tcPr>
          <w:p>
            <w:pPr>
              <w:pStyle w:val="12"/>
            </w:pPr>
            <w:r>
              <w:t>13.56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13.56</w:t>
            </w:r>
          </w:p>
        </w:tc>
        <w:tc>
          <w:tcPr>
            <w:tcW w:w="1361" w:type="dxa"/>
            <w:vAlign w:val="center"/>
          </w:tcPr>
          <w:p>
            <w:pPr>
              <w:pStyle w:val="12"/>
            </w:pPr>
            <w:r>
              <w:t>13.56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13.56</w:t>
            </w:r>
          </w:p>
        </w:tc>
        <w:tc>
          <w:tcPr>
            <w:tcW w:w="1361" w:type="dxa"/>
            <w:vAlign w:val="center"/>
          </w:tcPr>
          <w:p>
            <w:pPr>
              <w:pStyle w:val="12"/>
            </w:pPr>
            <w:r>
              <w:t>13.56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245.08</w:t>
            </w:r>
          </w:p>
        </w:tc>
        <w:tc>
          <w:tcPr>
            <w:tcW w:w="3402" w:type="dxa"/>
            <w:vAlign w:val="center"/>
          </w:tcPr>
          <w:p>
            <w:pPr>
              <w:pStyle w:val="13"/>
            </w:pPr>
            <w:r>
              <w:t>一、一般公共服务支出</w:t>
            </w:r>
          </w:p>
        </w:tc>
        <w:tc>
          <w:tcPr>
            <w:tcW w:w="1474" w:type="dxa"/>
            <w:vAlign w:val="center"/>
          </w:tcPr>
          <w:p>
            <w:pPr>
              <w:pStyle w:val="12"/>
            </w:pPr>
            <w:r>
              <w:t>176.87</w:t>
            </w:r>
          </w:p>
        </w:tc>
        <w:tc>
          <w:tcPr>
            <w:tcW w:w="1474" w:type="dxa"/>
            <w:vAlign w:val="center"/>
          </w:tcPr>
          <w:p>
            <w:pPr>
              <w:pStyle w:val="12"/>
            </w:pPr>
            <w:r>
              <w:t>176.87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41.90</w:t>
            </w:r>
          </w:p>
        </w:tc>
        <w:tc>
          <w:tcPr>
            <w:tcW w:w="1474" w:type="dxa"/>
            <w:vAlign w:val="center"/>
          </w:tcPr>
          <w:p>
            <w:pPr>
              <w:pStyle w:val="12"/>
            </w:pPr>
            <w:r>
              <w:t>41.90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12.75</w:t>
            </w:r>
          </w:p>
        </w:tc>
        <w:tc>
          <w:tcPr>
            <w:tcW w:w="1474" w:type="dxa"/>
            <w:vAlign w:val="center"/>
          </w:tcPr>
          <w:p>
            <w:pPr>
              <w:pStyle w:val="12"/>
            </w:pPr>
            <w:r>
              <w:t>12.75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13.56</w:t>
            </w:r>
          </w:p>
        </w:tc>
        <w:tc>
          <w:tcPr>
            <w:tcW w:w="1474" w:type="dxa"/>
            <w:vAlign w:val="center"/>
          </w:tcPr>
          <w:p>
            <w:pPr>
              <w:pStyle w:val="12"/>
            </w:pPr>
            <w:r>
              <w:t>13.56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245.08</w:t>
            </w:r>
          </w:p>
        </w:tc>
        <w:tc>
          <w:tcPr>
            <w:tcW w:w="3402" w:type="dxa"/>
            <w:vAlign w:val="center"/>
          </w:tcPr>
          <w:p>
            <w:pPr>
              <w:pStyle w:val="15"/>
            </w:pPr>
            <w:r>
              <w:t>本年支出合计</w:t>
            </w:r>
          </w:p>
        </w:tc>
        <w:tc>
          <w:tcPr>
            <w:tcW w:w="1474" w:type="dxa"/>
            <w:vAlign w:val="center"/>
          </w:tcPr>
          <w:p>
            <w:pPr>
              <w:pStyle w:val="16"/>
            </w:pPr>
            <w:r>
              <w:t>245.08</w:t>
            </w:r>
          </w:p>
        </w:tc>
        <w:tc>
          <w:tcPr>
            <w:tcW w:w="1474" w:type="dxa"/>
            <w:vAlign w:val="center"/>
          </w:tcPr>
          <w:p>
            <w:pPr>
              <w:pStyle w:val="16"/>
            </w:pPr>
            <w:r>
              <w:t>245.08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245.08</w:t>
            </w:r>
          </w:p>
        </w:tc>
        <w:tc>
          <w:tcPr>
            <w:tcW w:w="3402" w:type="dxa"/>
            <w:vAlign w:val="center"/>
          </w:tcPr>
          <w:p>
            <w:pPr>
              <w:pStyle w:val="15"/>
            </w:pPr>
            <w:r>
              <w:t>支出总计</w:t>
            </w:r>
          </w:p>
        </w:tc>
        <w:tc>
          <w:tcPr>
            <w:tcW w:w="1474" w:type="dxa"/>
            <w:vAlign w:val="center"/>
          </w:tcPr>
          <w:p>
            <w:pPr>
              <w:pStyle w:val="16"/>
            </w:pPr>
            <w:r>
              <w:t>245.08</w:t>
            </w:r>
          </w:p>
        </w:tc>
        <w:tc>
          <w:tcPr>
            <w:tcW w:w="1474" w:type="dxa"/>
            <w:vAlign w:val="center"/>
          </w:tcPr>
          <w:p>
            <w:pPr>
              <w:pStyle w:val="16"/>
            </w:pPr>
            <w:r>
              <w:t>245.08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245.08</w:t>
            </w:r>
          </w:p>
        </w:tc>
        <w:tc>
          <w:tcPr>
            <w:tcW w:w="2551" w:type="dxa"/>
            <w:vAlign w:val="center"/>
          </w:tcPr>
          <w:p>
            <w:pPr>
              <w:pStyle w:val="16"/>
            </w:pPr>
            <w:r>
              <w:t>230.08</w:t>
            </w:r>
          </w:p>
        </w:tc>
        <w:tc>
          <w:tcPr>
            <w:tcW w:w="2551" w:type="dxa"/>
            <w:vAlign w:val="center"/>
          </w:tcPr>
          <w:p>
            <w:pPr>
              <w:pStyle w:val="16"/>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176.87</w:t>
            </w:r>
          </w:p>
        </w:tc>
        <w:tc>
          <w:tcPr>
            <w:tcW w:w="2551" w:type="dxa"/>
            <w:vAlign w:val="center"/>
          </w:tcPr>
          <w:p>
            <w:pPr>
              <w:pStyle w:val="12"/>
            </w:pPr>
            <w:r>
              <w:t>161.87</w:t>
            </w: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20126</w:t>
            </w:r>
          </w:p>
        </w:tc>
        <w:tc>
          <w:tcPr>
            <w:tcW w:w="4535" w:type="dxa"/>
            <w:vAlign w:val="center"/>
          </w:tcPr>
          <w:p>
            <w:pPr>
              <w:pStyle w:val="13"/>
            </w:pPr>
            <w:r>
              <w:t>档案事务</w:t>
            </w:r>
          </w:p>
        </w:tc>
        <w:tc>
          <w:tcPr>
            <w:tcW w:w="2551" w:type="dxa"/>
            <w:vAlign w:val="center"/>
          </w:tcPr>
          <w:p>
            <w:pPr>
              <w:pStyle w:val="12"/>
            </w:pPr>
            <w:r>
              <w:t>176.87</w:t>
            </w:r>
          </w:p>
        </w:tc>
        <w:tc>
          <w:tcPr>
            <w:tcW w:w="2551" w:type="dxa"/>
            <w:vAlign w:val="center"/>
          </w:tcPr>
          <w:p>
            <w:pPr>
              <w:pStyle w:val="12"/>
            </w:pPr>
            <w:r>
              <w:t>161.87</w:t>
            </w: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2012601</w:t>
            </w:r>
          </w:p>
        </w:tc>
        <w:tc>
          <w:tcPr>
            <w:tcW w:w="4535" w:type="dxa"/>
            <w:vAlign w:val="center"/>
          </w:tcPr>
          <w:p>
            <w:pPr>
              <w:pStyle w:val="13"/>
            </w:pPr>
            <w:r>
              <w:t>行政运行</w:t>
            </w:r>
          </w:p>
        </w:tc>
        <w:tc>
          <w:tcPr>
            <w:tcW w:w="2551" w:type="dxa"/>
            <w:vAlign w:val="center"/>
          </w:tcPr>
          <w:p>
            <w:pPr>
              <w:pStyle w:val="12"/>
            </w:pPr>
            <w:r>
              <w:t>161.87</w:t>
            </w:r>
          </w:p>
        </w:tc>
        <w:tc>
          <w:tcPr>
            <w:tcW w:w="2551" w:type="dxa"/>
            <w:vAlign w:val="center"/>
          </w:tcPr>
          <w:p>
            <w:pPr>
              <w:pStyle w:val="12"/>
            </w:pPr>
            <w:r>
              <w:t>161.87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2012602</w:t>
            </w:r>
          </w:p>
        </w:tc>
        <w:tc>
          <w:tcPr>
            <w:tcW w:w="4535" w:type="dxa"/>
            <w:vAlign w:val="center"/>
          </w:tcPr>
          <w:p>
            <w:pPr>
              <w:pStyle w:val="13"/>
            </w:pPr>
            <w:r>
              <w:t>一般行政管理事务</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41.90</w:t>
            </w:r>
          </w:p>
        </w:tc>
        <w:tc>
          <w:tcPr>
            <w:tcW w:w="2551" w:type="dxa"/>
            <w:vAlign w:val="center"/>
          </w:tcPr>
          <w:p>
            <w:pPr>
              <w:pStyle w:val="12"/>
            </w:pPr>
            <w:r>
              <w:t>41.90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41.90</w:t>
            </w:r>
          </w:p>
        </w:tc>
        <w:tc>
          <w:tcPr>
            <w:tcW w:w="2551" w:type="dxa"/>
            <w:vAlign w:val="center"/>
          </w:tcPr>
          <w:p>
            <w:pPr>
              <w:pStyle w:val="12"/>
            </w:pPr>
            <w:r>
              <w:t>41.90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24.37</w:t>
            </w:r>
          </w:p>
        </w:tc>
        <w:tc>
          <w:tcPr>
            <w:tcW w:w="2551" w:type="dxa"/>
            <w:vAlign w:val="center"/>
          </w:tcPr>
          <w:p>
            <w:pPr>
              <w:pStyle w:val="12"/>
            </w:pPr>
            <w:r>
              <w:t>24.37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17.53</w:t>
            </w:r>
          </w:p>
        </w:tc>
        <w:tc>
          <w:tcPr>
            <w:tcW w:w="2551" w:type="dxa"/>
            <w:vAlign w:val="center"/>
          </w:tcPr>
          <w:p>
            <w:pPr>
              <w:pStyle w:val="12"/>
            </w:pPr>
            <w:r>
              <w:t>17.53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12.75</w:t>
            </w:r>
          </w:p>
        </w:tc>
        <w:tc>
          <w:tcPr>
            <w:tcW w:w="2551" w:type="dxa"/>
            <w:vAlign w:val="center"/>
          </w:tcPr>
          <w:p>
            <w:pPr>
              <w:pStyle w:val="12"/>
            </w:pPr>
            <w:r>
              <w:t>12.75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12.75</w:t>
            </w:r>
          </w:p>
        </w:tc>
        <w:tc>
          <w:tcPr>
            <w:tcW w:w="2551" w:type="dxa"/>
            <w:vAlign w:val="center"/>
          </w:tcPr>
          <w:p>
            <w:pPr>
              <w:pStyle w:val="12"/>
            </w:pPr>
            <w:r>
              <w:t>12.75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5.99</w:t>
            </w:r>
          </w:p>
        </w:tc>
        <w:tc>
          <w:tcPr>
            <w:tcW w:w="2551" w:type="dxa"/>
            <w:vAlign w:val="center"/>
          </w:tcPr>
          <w:p>
            <w:pPr>
              <w:pStyle w:val="12"/>
            </w:pPr>
            <w:r>
              <w:t>5.99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6.76</w:t>
            </w:r>
          </w:p>
        </w:tc>
        <w:tc>
          <w:tcPr>
            <w:tcW w:w="2551" w:type="dxa"/>
            <w:vAlign w:val="center"/>
          </w:tcPr>
          <w:p>
            <w:pPr>
              <w:pStyle w:val="12"/>
            </w:pPr>
            <w:r>
              <w:t>6.76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13.56</w:t>
            </w:r>
          </w:p>
        </w:tc>
        <w:tc>
          <w:tcPr>
            <w:tcW w:w="2551" w:type="dxa"/>
            <w:vAlign w:val="center"/>
          </w:tcPr>
          <w:p>
            <w:pPr>
              <w:pStyle w:val="12"/>
            </w:pPr>
            <w:r>
              <w:t>13.56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13.56</w:t>
            </w:r>
          </w:p>
        </w:tc>
        <w:tc>
          <w:tcPr>
            <w:tcW w:w="2551" w:type="dxa"/>
            <w:vAlign w:val="center"/>
          </w:tcPr>
          <w:p>
            <w:pPr>
              <w:pStyle w:val="12"/>
            </w:pPr>
            <w:r>
              <w:t>13.56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13.56</w:t>
            </w:r>
          </w:p>
        </w:tc>
        <w:tc>
          <w:tcPr>
            <w:tcW w:w="2551" w:type="dxa"/>
            <w:vAlign w:val="center"/>
          </w:tcPr>
          <w:p>
            <w:pPr>
              <w:pStyle w:val="12"/>
            </w:pPr>
            <w:r>
              <w:t>13.56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230.08</w:t>
            </w:r>
          </w:p>
        </w:tc>
        <w:tc>
          <w:tcPr>
            <w:tcW w:w="2551" w:type="dxa"/>
            <w:vAlign w:val="center"/>
          </w:tcPr>
          <w:p>
            <w:pPr>
              <w:pStyle w:val="16"/>
            </w:pPr>
            <w:r>
              <w:t>198.25</w:t>
            </w:r>
          </w:p>
        </w:tc>
        <w:tc>
          <w:tcPr>
            <w:tcW w:w="2551" w:type="dxa"/>
            <w:vAlign w:val="center"/>
          </w:tcPr>
          <w:p>
            <w:pPr>
              <w:pStyle w:val="16"/>
            </w:pPr>
            <w:r>
              <w:t>31.83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173.88</w:t>
            </w:r>
          </w:p>
        </w:tc>
        <w:tc>
          <w:tcPr>
            <w:tcW w:w="2551" w:type="dxa"/>
            <w:vAlign w:val="center"/>
          </w:tcPr>
          <w:p>
            <w:pPr>
              <w:pStyle w:val="12"/>
            </w:pPr>
            <w:r>
              <w:t>173.88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48.97</w:t>
            </w:r>
          </w:p>
        </w:tc>
        <w:tc>
          <w:tcPr>
            <w:tcW w:w="2551" w:type="dxa"/>
            <w:vAlign w:val="center"/>
          </w:tcPr>
          <w:p>
            <w:pPr>
              <w:pStyle w:val="12"/>
            </w:pPr>
            <w:r>
              <w:t>48.97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10.04</w:t>
            </w:r>
          </w:p>
        </w:tc>
        <w:tc>
          <w:tcPr>
            <w:tcW w:w="2551" w:type="dxa"/>
            <w:vAlign w:val="center"/>
          </w:tcPr>
          <w:p>
            <w:pPr>
              <w:pStyle w:val="12"/>
            </w:pPr>
            <w:r>
              <w:t>10.04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69.95</w:t>
            </w:r>
          </w:p>
        </w:tc>
        <w:tc>
          <w:tcPr>
            <w:tcW w:w="2551" w:type="dxa"/>
            <w:vAlign w:val="center"/>
          </w:tcPr>
          <w:p>
            <w:pPr>
              <w:pStyle w:val="12"/>
            </w:pPr>
            <w:r>
              <w:t>69.95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17.53</w:t>
            </w:r>
          </w:p>
        </w:tc>
        <w:tc>
          <w:tcPr>
            <w:tcW w:w="2551" w:type="dxa"/>
            <w:vAlign w:val="center"/>
          </w:tcPr>
          <w:p>
            <w:pPr>
              <w:pStyle w:val="12"/>
            </w:pPr>
            <w:r>
              <w:t>17.53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5.99</w:t>
            </w:r>
          </w:p>
        </w:tc>
        <w:tc>
          <w:tcPr>
            <w:tcW w:w="2551" w:type="dxa"/>
            <w:vAlign w:val="center"/>
          </w:tcPr>
          <w:p>
            <w:pPr>
              <w:pStyle w:val="12"/>
            </w:pPr>
            <w:r>
              <w:t>5.99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6.76</w:t>
            </w:r>
          </w:p>
        </w:tc>
        <w:tc>
          <w:tcPr>
            <w:tcW w:w="2551" w:type="dxa"/>
            <w:vAlign w:val="center"/>
          </w:tcPr>
          <w:p>
            <w:pPr>
              <w:pStyle w:val="12"/>
            </w:pPr>
            <w:r>
              <w:t>6.76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13.56</w:t>
            </w:r>
          </w:p>
        </w:tc>
        <w:tc>
          <w:tcPr>
            <w:tcW w:w="2551" w:type="dxa"/>
            <w:vAlign w:val="center"/>
          </w:tcPr>
          <w:p>
            <w:pPr>
              <w:pStyle w:val="12"/>
            </w:pPr>
            <w:r>
              <w:t>13.56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31.83</w:t>
            </w:r>
          </w:p>
        </w:tc>
        <w:tc>
          <w:tcPr>
            <w:tcW w:w="2551" w:type="dxa"/>
            <w:vAlign w:val="center"/>
          </w:tcPr>
          <w:p>
            <w:pPr>
              <w:pStyle w:val="12"/>
            </w:pPr>
          </w:p>
        </w:tc>
        <w:tc>
          <w:tcPr>
            <w:tcW w:w="2551" w:type="dxa"/>
            <w:vAlign w:val="center"/>
          </w:tcPr>
          <w:p>
            <w:pPr>
              <w:pStyle w:val="12"/>
            </w:pPr>
            <w:r>
              <w:t>31.83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1.91</w:t>
            </w:r>
          </w:p>
        </w:tc>
        <w:tc>
          <w:tcPr>
            <w:tcW w:w="2551" w:type="dxa"/>
            <w:vAlign w:val="center"/>
          </w:tcPr>
          <w:p>
            <w:pPr>
              <w:pStyle w:val="12"/>
            </w:pPr>
          </w:p>
        </w:tc>
        <w:tc>
          <w:tcPr>
            <w:tcW w:w="2551" w:type="dxa"/>
            <w:vAlign w:val="center"/>
          </w:tcPr>
          <w:p>
            <w:pPr>
              <w:pStyle w:val="12"/>
            </w:pPr>
            <w: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6.34</w:t>
            </w:r>
          </w:p>
        </w:tc>
        <w:tc>
          <w:tcPr>
            <w:tcW w:w="2551" w:type="dxa"/>
            <w:vAlign w:val="center"/>
          </w:tcPr>
          <w:p>
            <w:pPr>
              <w:pStyle w:val="12"/>
            </w:pPr>
          </w:p>
        </w:tc>
        <w:tc>
          <w:tcPr>
            <w:tcW w:w="2551" w:type="dxa"/>
            <w:vAlign w:val="center"/>
          </w:tcPr>
          <w:p>
            <w:pPr>
              <w:pStyle w:val="12"/>
            </w:pPr>
            <w:r>
              <w:t>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0.04</w:t>
            </w:r>
          </w:p>
        </w:tc>
        <w:tc>
          <w:tcPr>
            <w:tcW w:w="2551" w:type="dxa"/>
            <w:vAlign w:val="center"/>
          </w:tcPr>
          <w:p>
            <w:pPr>
              <w:pStyle w:val="12"/>
            </w:pPr>
          </w:p>
        </w:tc>
        <w:tc>
          <w:tcPr>
            <w:tcW w:w="2551" w:type="dxa"/>
            <w:vAlign w:val="center"/>
          </w:tcPr>
          <w:p>
            <w:pPr>
              <w:pStyle w:val="12"/>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1.77</w:t>
            </w:r>
          </w:p>
        </w:tc>
        <w:tc>
          <w:tcPr>
            <w:tcW w:w="2551" w:type="dxa"/>
            <w:vAlign w:val="center"/>
          </w:tcPr>
          <w:p>
            <w:pPr>
              <w:pStyle w:val="12"/>
            </w:pPr>
          </w:p>
        </w:tc>
        <w:tc>
          <w:tcPr>
            <w:tcW w:w="2551" w:type="dxa"/>
            <w:vAlign w:val="center"/>
          </w:tcPr>
          <w:p>
            <w:pPr>
              <w:pStyle w:val="12"/>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2.38</w:t>
            </w:r>
          </w:p>
        </w:tc>
        <w:tc>
          <w:tcPr>
            <w:tcW w:w="2551" w:type="dxa"/>
            <w:vAlign w:val="center"/>
          </w:tcPr>
          <w:p>
            <w:pPr>
              <w:pStyle w:val="12"/>
            </w:pPr>
          </w:p>
        </w:tc>
        <w:tc>
          <w:tcPr>
            <w:tcW w:w="2551" w:type="dxa"/>
            <w:vAlign w:val="center"/>
          </w:tcPr>
          <w:p>
            <w:pPr>
              <w:pStyle w:val="12"/>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24.37</w:t>
            </w:r>
          </w:p>
        </w:tc>
        <w:tc>
          <w:tcPr>
            <w:tcW w:w="2551" w:type="dxa"/>
            <w:vAlign w:val="center"/>
          </w:tcPr>
          <w:p>
            <w:pPr>
              <w:pStyle w:val="12"/>
            </w:pPr>
            <w:r>
              <w:t>24.37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24.37</w:t>
            </w:r>
          </w:p>
        </w:tc>
        <w:tc>
          <w:tcPr>
            <w:tcW w:w="2551" w:type="dxa"/>
            <w:vAlign w:val="center"/>
          </w:tcPr>
          <w:p>
            <w:pPr>
              <w:pStyle w:val="12"/>
            </w:pPr>
            <w:r>
              <w:t>24.37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0.04</w:t>
            </w:r>
          </w:p>
        </w:tc>
        <w:tc>
          <w:tcPr>
            <w:tcW w:w="2381" w:type="dxa"/>
            <w:vAlign w:val="center"/>
          </w:tcPr>
          <w:p>
            <w:pPr>
              <w:pStyle w:val="16"/>
            </w:pPr>
            <w:r>
              <w:t>0.04</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0.04</w:t>
            </w:r>
          </w:p>
        </w:tc>
        <w:tc>
          <w:tcPr>
            <w:tcW w:w="2381" w:type="dxa"/>
            <w:vAlign w:val="center"/>
          </w:tcPr>
          <w:p>
            <w:pPr>
              <w:pStyle w:val="12"/>
            </w:pPr>
            <w:r>
              <w:t>0.04</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0.04</w:t>
            </w:r>
          </w:p>
        </w:tc>
        <w:tc>
          <w:tcPr>
            <w:tcW w:w="2381" w:type="dxa"/>
            <w:vAlign w:val="center"/>
          </w:tcPr>
          <w:p>
            <w:pPr>
              <w:pStyle w:val="12"/>
            </w:pPr>
            <w:r>
              <w:t>0.04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秦皇岛市海港区档案馆2025年部门预算信息公开情况说明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秦皇岛市海港区档案馆2025年部门预算信息公开情况说明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按照《中华人民共和国预算法》、《地方预决算公开操作规程》和《关于进一步推进预算公开工作的实施意见》规定，现将秦皇岛市海港区档案馆2025年部门预算公开如下：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一、档案收集保管与开发利用</w:t>
      </w:r>
    </w:p>
    <w:p>
      <w:pPr>
        <w:pStyle w:val="18"/>
      </w:pPr>
      <w:r>
        <w:t>机关团体企事业单位档案工作目标管理认定，做好档案资源建设和保管，优化馆藏，做好重点档案抢救、保护、开发和信息化管理工作。提供档案查阅和利用，培育档案文化产业，推进全区档案信息化工作。丰富馆藏内容，方便保管和利用，完成档案的托裱、修复、复制、开发等抢救保护工作，最大限度地延长档案寿命。实现对档案的数据化备份和保护。把“死档案”变成“活信息”，更好为各级党委和政府决策、管理服务。</w:t>
      </w:r>
    </w:p>
    <w:p>
      <w:pPr>
        <w:pStyle w:val="18"/>
      </w:pPr>
      <w:r>
        <w:t>二、档案政务管理</w:t>
      </w:r>
    </w:p>
    <w:p>
      <w:pPr>
        <w:pStyle w:val="18"/>
      </w:pPr>
      <w:r>
        <w:t>负责档案法律法规宣传；协调处理与其他执法部门在档案事务上的关系；负责档案行政执法的监督检查；开展档案建设调研。确保机关正常运转，各项业务顺利推进，适应档案事业发展需要。做好全区档案工作会议的组织工作；指导系统业务活动；开展档案专项调查研究，负责档案法律法规宣传；加强专项资金监管；加强业务宣传、政务信息公开等工作；依法行政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秦皇岛市海港区档案馆本级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按照预算管理有关规定，目前部门预算的编制实行综合预算管理，即全部收入和支出都反映在预算中。秦皇岛市海港区档案馆机关及所属事业单位的收支包含在部门预算中。</w:t>
      </w:r>
    </w:p>
    <w:p>
      <w:pPr>
        <w:pStyle w:val="19"/>
      </w:pPr>
      <w:r>
        <w:t>1、收入说明</w:t>
      </w:r>
    </w:p>
    <w:p>
      <w:pPr>
        <w:pStyle w:val="19"/>
      </w:pPr>
      <w:r>
        <w:t>反映本部门当年全部收入。2025年预算收入245.08万元，其中：一般公共预算收入245.08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市海港区档案馆年度部门预算中支出预算的总体情况。2025年支出预算245.08万元，其中基本支出230.08万元，包括人员经费198.25万元和日常公用经费31.83万元；项目支出15.00万元，主要为爱国主义教育基在工作经费2万元，档案工作经费（含企业人事档案管理经费）13万元。</w:t>
      </w:r>
    </w:p>
    <w:p>
      <w:pPr>
        <w:pStyle w:val="19"/>
      </w:pPr>
      <w:r>
        <w:t>3、比上年增减情况</w:t>
      </w:r>
    </w:p>
    <w:p>
      <w:pPr>
        <w:pStyle w:val="19"/>
      </w:pPr>
      <w:r>
        <w:t>2025年预算收支安排245.08万元，较2024年预算减少8.70万元，其中：基本支出减少6.70万元，主要为社会保障缴费减少及正常公用经费压减。项目支出减少2.00万元，主要为档案工作经费（含企业人事档案管理经费）压减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2025年，我部门机关运行经费共计安排31.83万元，主要用于日常维修、办公用房水电费、办公用房取暖费、办公用房物业管理费等日常运行支出。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0.04万元，其中因公出国（境）费0.00万元；公务用车购置及运维费0.00万元（其中：公务用车购置费为0.00万元，公务用车运维费0.00万元)；公务接待费0.04万元。与2024年相比</w:t>
      </w:r>
      <w:r>
        <w:rPr>
          <w:rFonts w:hint="eastAsia"/>
          <w:lang w:eastAsia="zh-CN"/>
        </w:rPr>
        <w:t>减少</w:t>
      </w:r>
      <w:r>
        <w:t>0.</w:t>
      </w:r>
      <w:r>
        <w:rPr>
          <w:rFonts w:hint="eastAsia"/>
          <w:lang w:val="en-US" w:eastAsia="zh-CN"/>
        </w:rPr>
        <w:t>13</w:t>
      </w:r>
      <w:r>
        <w:t>万元，增减变化的主要原因是公务接待费</w:t>
      </w:r>
      <w:r>
        <w:rPr>
          <w:rFonts w:hint="eastAsia"/>
          <w:lang w:eastAsia="zh-CN"/>
        </w:rPr>
        <w:t>预算</w:t>
      </w:r>
      <w:r>
        <w:t>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一是抓好档案接收和利用，优化馆藏，提供档案查阅和利用，培育档案文化产业，更好的为各级党委、政府及民众提供服务。</w:t>
      </w:r>
    </w:p>
    <w:p>
      <w:pPr>
        <w:pStyle w:val="22"/>
      </w:pPr>
      <w:r>
        <w:t>二是做好馆藏档案的保护及管理。做好档案资源建设和保管，丰富馆藏内容，做好重点档案抢救、保护工作。完成档案的托裱、修复、复制、开发等抢救保护工作，最大限度地延长档案寿命。</w:t>
      </w:r>
    </w:p>
    <w:p>
      <w:pPr>
        <w:pStyle w:val="22"/>
      </w:pPr>
      <w:r>
        <w:t>三是继续推行电子档案。做好档案开发及全区档案信息化管理工作，实现对档案的数据化备份和保护。四是加大档案执法检查。做好档案法律法规宣传；协调处理与其他执法部门在档案事务上的关系；负责档案行政执法的监督检查；完成档案建设调研。</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一、档案日常管理工作</w:t>
      </w:r>
    </w:p>
    <w:p>
      <w:pPr>
        <w:pStyle w:val="23"/>
      </w:pPr>
      <w:r>
        <w:t>1、绩效目标：接收区各单位电子档案。</w:t>
      </w:r>
    </w:p>
    <w:p>
      <w:pPr>
        <w:pStyle w:val="23"/>
      </w:pPr>
      <w:r>
        <w:t>绩效指标：完成全区80%以上单位202</w:t>
      </w:r>
      <w:r>
        <w:rPr>
          <w:rFonts w:hint="eastAsia"/>
          <w:lang w:val="en-US" w:eastAsia="zh-CN"/>
        </w:rPr>
        <w:t>4</w:t>
      </w:r>
      <w:r>
        <w:t>年文书电子档案、电子目录和纸质目录接收工作，对上传的电子档案与纸质档案进行逐一校对，经检查合格后导入档案系统，以供查档使用。</w:t>
      </w:r>
    </w:p>
    <w:p>
      <w:pPr>
        <w:pStyle w:val="23"/>
      </w:pPr>
      <w:r>
        <w:t>2、绩效目标：热情接待查档人员，按要求及时提供所需档案信息，做好部门间档案电话  核实沟通，做到真心实意为群众办好事、做实事、排忧事、解难事。</w:t>
      </w:r>
      <w:bookmarkStart w:id="20" w:name="_GoBack"/>
      <w:bookmarkEnd w:id="20"/>
      <w:r>
        <w:t>绩效指标：档案查准率及服务对象满意度达到75%以上。</w:t>
      </w:r>
    </w:p>
    <w:p>
      <w:pPr>
        <w:pStyle w:val="23"/>
      </w:pPr>
      <w:r>
        <w:t>3、绩效目标：对馆藏档案进行数字化扫描。</w:t>
      </w:r>
    </w:p>
    <w:p>
      <w:pPr>
        <w:pStyle w:val="23"/>
      </w:pPr>
      <w:r>
        <w:t>绩效指标：全年完成10万页以上。</w:t>
      </w:r>
    </w:p>
    <w:p>
      <w:pPr>
        <w:pStyle w:val="23"/>
      </w:pPr>
      <w:r>
        <w:t>二、爱国主义教育基地建设工作。</w:t>
      </w:r>
    </w:p>
    <w:p>
      <w:pPr>
        <w:pStyle w:val="23"/>
      </w:pPr>
      <w:r>
        <w:t xml:space="preserve">1、绩效目标：结合6·9国际档案日，开展以新修改的《中华人民共和国档案法》为内容的宣传活动。增强全社会档案意识和档案法制观念，提升全区各单位单位依法治档、依法管理档案事业的水平。 </w:t>
      </w:r>
    </w:p>
    <w:p>
      <w:pPr>
        <w:pStyle w:val="23"/>
      </w:pPr>
      <w:r>
        <w:t>绩效指标：年度至少开展1次。</w:t>
      </w:r>
    </w:p>
    <w:p>
      <w:pPr>
        <w:pStyle w:val="23"/>
      </w:pPr>
      <w:r>
        <w:t>2、绩效目标：对爱国主义教育基地设施设备进行维护，保证正常运转。</w:t>
      </w:r>
    </w:p>
    <w:p>
      <w:pPr>
        <w:pStyle w:val="23"/>
      </w:pPr>
      <w:r>
        <w:t>绩效指标：设施设备完好率达到100%。</w:t>
      </w:r>
    </w:p>
    <w:p>
      <w:pPr>
        <w:pStyle w:val="23"/>
      </w:pPr>
      <w:r>
        <w:t>3、绩效目标：保证社会及群众对宣传展览活动满意程度。</w:t>
      </w:r>
    </w:p>
    <w:p>
      <w:pPr>
        <w:pStyle w:val="23"/>
      </w:pPr>
      <w:r>
        <w:t>绩效指标：达到90%以上。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p>
    <w:p>
      <w:pPr>
        <w:pStyle w:val="24"/>
      </w:pPr>
      <w:r>
        <w:t>1、完善制度建设。制定完善部门预算绩效管理制度、财政资金使用管理办法、工作保障制度等，为全年预算绩效目标的实现奠定制度基础。</w:t>
      </w:r>
    </w:p>
    <w:p>
      <w:pPr>
        <w:pStyle w:val="24"/>
      </w:pPr>
      <w:r>
        <w:t>2、加强支出管理。按优化支出结构，编细编实部门预算，规范采购流程，提高资金使用效率，确保支出进度达标。</w:t>
      </w:r>
    </w:p>
    <w:p>
      <w:pPr>
        <w:pStyle w:val="24"/>
      </w:pPr>
      <w:r>
        <w:t>3、加强绩效运行监控。增强绩效主体责任和绩效监控意识，完善绩效目标编制。实现绩效目标设置与项目绩效监控的有效结合。</w:t>
      </w:r>
    </w:p>
    <w:p>
      <w:pPr>
        <w:pStyle w:val="24"/>
      </w:pPr>
      <w:r>
        <w:t>4、做好绩效自评。认真组织本部门开展绩效自评工作。成立绩效自评工作组织机构，明确了绩效自评职责及人员分工，按照既定绩效目标、指标实施自我评价。确保完成年度预算绩效自评任务。</w:t>
      </w:r>
    </w:p>
    <w:p>
      <w:pPr>
        <w:pStyle w:val="24"/>
      </w:pPr>
      <w:r>
        <w:t>5、规范财务资产管理。完善部门内部财务管理制度，严格审批程序，加强固定资产登记、使用和报废处置管理，做到支出合理，物尽其用。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工作。加大预算绩效的宣传力度，对局内人员进行预算绩效管理培训，不断提升能力，逐步建立完善本单位整体绩效目标指标体系，确保本单位绩效目标的如期实现。积极开展调研工作，发现问题及时更正，对偏离绩效目标、预期无效项目及时提出纠正或调整意见，保障资金的安全和项目正常运行。</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1、爱国主义教育基地工作经费绩效目标表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13030225P00001810002L</w:t>
            </w:r>
          </w:p>
        </w:tc>
        <w:tc>
          <w:tcPr>
            <w:tcW w:w="2835" w:type="dxa"/>
            <w:vAlign w:val="center"/>
          </w:tcPr>
          <w:p>
            <w:pPr>
              <w:pStyle w:val="11"/>
            </w:pPr>
            <w:r>
              <w:t>项目名称</w:t>
            </w:r>
          </w:p>
        </w:tc>
        <w:tc>
          <w:tcPr>
            <w:tcW w:w="6095" w:type="dxa"/>
            <w:gridSpan w:val="3"/>
            <w:vAlign w:val="center"/>
          </w:tcPr>
          <w:p>
            <w:pPr>
              <w:pStyle w:val="13"/>
            </w:pPr>
            <w:r>
              <w:t>爱国主义教育基地工作经费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维护爱国主义教育基地基础设施，收集有价值的档案资料，丰富爱国主义教育基地馆藏内容，举办爱国主义教育展览，并免费向社会开放。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0.10</w:t>
            </w:r>
          </w:p>
        </w:tc>
        <w:tc>
          <w:tcPr>
            <w:tcW w:w="2835" w:type="dxa"/>
            <w:vAlign w:val="center"/>
          </w:tcPr>
          <w:p>
            <w:pPr>
              <w:pStyle w:val="14"/>
            </w:pPr>
            <w:r>
              <w:t>2.00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1.维护爱国主义教育基地基础设施</w:t>
            </w:r>
          </w:p>
          <w:p>
            <w:pPr>
              <w:pStyle w:val="13"/>
            </w:pPr>
            <w:r>
              <w:t>2.举办爱国主义教育展览，并免费向社会开放</w:t>
            </w:r>
          </w:p>
          <w:p>
            <w:pPr>
              <w:pStyle w:val="13"/>
            </w:pPr>
            <w:r>
              <w:t>3.通过举办展览提升参观群众热情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基地设施维护完成率</w:t>
            </w:r>
          </w:p>
        </w:tc>
        <w:tc>
          <w:tcPr>
            <w:tcW w:w="5386" w:type="dxa"/>
            <w:vAlign w:val="center"/>
          </w:tcPr>
          <w:p>
            <w:pPr>
              <w:pStyle w:val="13"/>
            </w:pPr>
            <w:r>
              <w:t>维护爱国主义教育基地基础设施</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年度接待参观人次</w:t>
            </w:r>
          </w:p>
        </w:tc>
        <w:tc>
          <w:tcPr>
            <w:tcW w:w="5386" w:type="dxa"/>
            <w:vAlign w:val="center"/>
          </w:tcPr>
          <w:p>
            <w:pPr>
              <w:pStyle w:val="13"/>
            </w:pPr>
            <w:r>
              <w:t>爱国主人次义教育基地面向社会开放，年度参观</w:t>
            </w:r>
          </w:p>
        </w:tc>
        <w:tc>
          <w:tcPr>
            <w:tcW w:w="2268" w:type="dxa"/>
            <w:vAlign w:val="center"/>
          </w:tcPr>
          <w:p>
            <w:pPr>
              <w:pStyle w:val="13"/>
            </w:pPr>
            <w:r>
              <w:t>≥50人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设施设备正常运转率</w:t>
            </w:r>
          </w:p>
        </w:tc>
        <w:tc>
          <w:tcPr>
            <w:tcW w:w="5386" w:type="dxa"/>
            <w:vAlign w:val="center"/>
          </w:tcPr>
          <w:p>
            <w:pPr>
              <w:pStyle w:val="13"/>
            </w:pPr>
            <w:r>
              <w:t>对爱国主义教育基地设施设备进行维护，保证正常运转</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各项工作完成及时性</w:t>
            </w:r>
          </w:p>
        </w:tc>
        <w:tc>
          <w:tcPr>
            <w:tcW w:w="5386" w:type="dxa"/>
            <w:vAlign w:val="center"/>
          </w:tcPr>
          <w:p>
            <w:pPr>
              <w:pStyle w:val="13"/>
            </w:pPr>
            <w:r>
              <w:t>按计划时间完成展览、设备设施维护等工作</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按预算合理控制费用支出</w:t>
            </w:r>
          </w:p>
        </w:tc>
        <w:tc>
          <w:tcPr>
            <w:tcW w:w="2268" w:type="dxa"/>
            <w:vAlign w:val="center"/>
          </w:tcPr>
          <w:p>
            <w:pPr>
              <w:pStyle w:val="13"/>
            </w:pPr>
            <w:r>
              <w:t>≤20000元</w:t>
            </w:r>
          </w:p>
        </w:tc>
        <w:tc>
          <w:tcPr>
            <w:tcW w:w="1276" w:type="dxa"/>
            <w:vAlign w:val="center"/>
          </w:tcPr>
          <w:p>
            <w:pPr>
              <w:pStyle w:val="13"/>
            </w:pPr>
            <w:r>
              <w:t>年度工作计划及预算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基础设施完好率</w:t>
            </w:r>
          </w:p>
        </w:tc>
        <w:tc>
          <w:tcPr>
            <w:tcW w:w="5386" w:type="dxa"/>
            <w:vAlign w:val="center"/>
          </w:tcPr>
          <w:p>
            <w:pPr>
              <w:pStyle w:val="13"/>
            </w:pPr>
            <w:r>
              <w:t>爱国主义教育基地基础设施完好率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提升参观群众爱国热情</w:t>
            </w:r>
          </w:p>
        </w:tc>
        <w:tc>
          <w:tcPr>
            <w:tcW w:w="5386" w:type="dxa"/>
            <w:vAlign w:val="center"/>
          </w:tcPr>
          <w:p>
            <w:pPr>
              <w:pStyle w:val="13"/>
            </w:pPr>
            <w:r>
              <w:t>爱国主义教育基地免费向社会开放促进群众提升爱国热情</w:t>
            </w:r>
          </w:p>
          <w:p>
            <w:pPr>
              <w:pStyle w:val="13"/>
            </w:pP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参观对象满意度</w:t>
            </w:r>
          </w:p>
        </w:tc>
        <w:tc>
          <w:tcPr>
            <w:tcW w:w="5386" w:type="dxa"/>
            <w:vAlign w:val="center"/>
          </w:tcPr>
          <w:p>
            <w:pPr>
              <w:pStyle w:val="13"/>
            </w:pPr>
            <w:r>
              <w:t>社会及群众对宣传展览活动满意程度</w:t>
            </w:r>
          </w:p>
        </w:tc>
        <w:tc>
          <w:tcPr>
            <w:tcW w:w="2268" w:type="dxa"/>
            <w:vAlign w:val="center"/>
          </w:tcPr>
          <w:p>
            <w:pPr>
              <w:pStyle w:val="13"/>
            </w:pPr>
            <w:r>
              <w:t>≥90%</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2、档案工作经费（含企业人事档案管理经费）绩效目标表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13030225P000018100011</w:t>
            </w:r>
          </w:p>
        </w:tc>
        <w:tc>
          <w:tcPr>
            <w:tcW w:w="2835" w:type="dxa"/>
            <w:vAlign w:val="center"/>
          </w:tcPr>
          <w:p>
            <w:pPr>
              <w:pStyle w:val="11"/>
            </w:pPr>
            <w:r>
              <w:t>项目名称</w:t>
            </w:r>
          </w:p>
        </w:tc>
        <w:tc>
          <w:tcPr>
            <w:tcW w:w="6095" w:type="dxa"/>
            <w:gridSpan w:val="3"/>
            <w:vAlign w:val="center"/>
          </w:tcPr>
          <w:p>
            <w:pPr>
              <w:pStyle w:val="13"/>
            </w:pPr>
            <w:r>
              <w:t>档案工作经费（含企业人事档案管理经费）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档案库房管理，提高全区档案馆室建设水平,做好重点档案抢救和保护。依据规定对档案进行征集、接收和整理，对相关单位纸质、电子、专题档案进行收集、整理和保存。包括：1、档案日常管理；2、档案装具；3、档案保护；4、档案抢修；5、档案收集与整理；6、档案扫描，数字化转换、备份，信息安全等级保护工作及特殊载体保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6.00</w:t>
            </w:r>
          </w:p>
        </w:tc>
        <w:tc>
          <w:tcPr>
            <w:tcW w:w="2551" w:type="dxa"/>
            <w:vAlign w:val="center"/>
          </w:tcPr>
          <w:p>
            <w:pPr>
              <w:pStyle w:val="14"/>
            </w:pPr>
            <w:r>
              <w:t>12.00</w:t>
            </w:r>
          </w:p>
        </w:tc>
        <w:tc>
          <w:tcPr>
            <w:tcW w:w="3544" w:type="dxa"/>
            <w:gridSpan w:val="2"/>
            <w:vAlign w:val="center"/>
          </w:tcPr>
          <w:p>
            <w:pPr>
              <w:pStyle w:val="14"/>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1.丰富馆藏内容，方便保管和利用，完成档案修复、复制、开发等抢救保护工作。</w:t>
            </w:r>
          </w:p>
          <w:p>
            <w:pPr>
              <w:pStyle w:val="13"/>
            </w:pPr>
            <w:r>
              <w:t>2.完成档案扫描任务并实现对档案的数据化备份。</w:t>
            </w:r>
          </w:p>
          <w:p>
            <w:pPr>
              <w:pStyle w:val="13"/>
            </w:pPr>
            <w:r>
              <w:t>3.档案利用，把“死档案”变成“活信息”，更好的为各级党委、政府及民众服务。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档案数字化转换完成率</w:t>
            </w:r>
          </w:p>
          <w:p>
            <w:pPr>
              <w:pStyle w:val="13"/>
            </w:pPr>
          </w:p>
        </w:tc>
        <w:tc>
          <w:tcPr>
            <w:tcW w:w="5386" w:type="dxa"/>
            <w:vAlign w:val="center"/>
          </w:tcPr>
          <w:p>
            <w:pPr>
              <w:pStyle w:val="13"/>
            </w:pPr>
            <w:r>
              <w:t>档案扫描及数字化转换、备份工作完成情况</w:t>
            </w:r>
          </w:p>
          <w:p>
            <w:pPr>
              <w:pStyle w:val="13"/>
            </w:pPr>
          </w:p>
        </w:tc>
        <w:tc>
          <w:tcPr>
            <w:tcW w:w="2268" w:type="dxa"/>
            <w:vAlign w:val="center"/>
          </w:tcPr>
          <w:p>
            <w:pPr>
              <w:pStyle w:val="13"/>
            </w:pPr>
            <w:r>
              <w:t>≥90%</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保护档案数量</w:t>
            </w:r>
          </w:p>
        </w:tc>
        <w:tc>
          <w:tcPr>
            <w:tcW w:w="5386" w:type="dxa"/>
            <w:vAlign w:val="center"/>
          </w:tcPr>
          <w:p>
            <w:pPr>
              <w:pStyle w:val="13"/>
            </w:pPr>
            <w:r>
              <w:t>年度内馆藏档案保护工作完成率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整理移交接收工作完成率</w:t>
            </w:r>
          </w:p>
        </w:tc>
        <w:tc>
          <w:tcPr>
            <w:tcW w:w="5386" w:type="dxa"/>
            <w:vAlign w:val="center"/>
          </w:tcPr>
          <w:p>
            <w:pPr>
              <w:pStyle w:val="13"/>
            </w:pPr>
            <w:r>
              <w:t>档案整理、移交、接收工作完成率</w:t>
            </w:r>
          </w:p>
          <w:p>
            <w:pPr>
              <w:pStyle w:val="13"/>
            </w:pPr>
          </w:p>
        </w:tc>
        <w:tc>
          <w:tcPr>
            <w:tcW w:w="2268" w:type="dxa"/>
            <w:vAlign w:val="center"/>
          </w:tcPr>
          <w:p>
            <w:pPr>
              <w:pStyle w:val="13"/>
            </w:pPr>
            <w:r>
              <w:t>≥80%</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整理移交接收工作质量</w:t>
            </w:r>
          </w:p>
        </w:tc>
        <w:tc>
          <w:tcPr>
            <w:tcW w:w="5386" w:type="dxa"/>
            <w:vAlign w:val="center"/>
          </w:tcPr>
          <w:p>
            <w:pPr>
              <w:pStyle w:val="13"/>
            </w:pPr>
            <w:r>
              <w:t>档案整理及移交验收规范化程度</w:t>
            </w: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档案保护工作质量</w:t>
            </w:r>
          </w:p>
          <w:p>
            <w:pPr>
              <w:pStyle w:val="13"/>
            </w:pPr>
          </w:p>
        </w:tc>
        <w:tc>
          <w:tcPr>
            <w:tcW w:w="5386" w:type="dxa"/>
            <w:vAlign w:val="center"/>
          </w:tcPr>
          <w:p>
            <w:pPr>
              <w:pStyle w:val="13"/>
            </w:pPr>
            <w:r>
              <w:t>确保档案库房资料及外借档案安全完整</w:t>
            </w:r>
          </w:p>
          <w:p>
            <w:pPr>
              <w:pStyle w:val="13"/>
            </w:pP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档案设施设备完好率</w:t>
            </w:r>
          </w:p>
          <w:p>
            <w:pPr>
              <w:pStyle w:val="13"/>
            </w:pPr>
          </w:p>
        </w:tc>
        <w:tc>
          <w:tcPr>
            <w:tcW w:w="5386" w:type="dxa"/>
            <w:vAlign w:val="center"/>
          </w:tcPr>
          <w:p>
            <w:pPr>
              <w:pStyle w:val="13"/>
            </w:pPr>
            <w:r>
              <w:t>档案库房设施设备完好程度</w:t>
            </w:r>
          </w:p>
          <w:p>
            <w:pPr>
              <w:pStyle w:val="13"/>
            </w:pP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档案数字化质量</w:t>
            </w:r>
          </w:p>
        </w:tc>
        <w:tc>
          <w:tcPr>
            <w:tcW w:w="5386" w:type="dxa"/>
            <w:vAlign w:val="center"/>
          </w:tcPr>
          <w:p>
            <w:pPr>
              <w:pStyle w:val="13"/>
            </w:pPr>
            <w:r>
              <w:t>保证数字化过程中档案内容完整性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管理工作完成及时性</w:t>
            </w:r>
          </w:p>
          <w:p>
            <w:pPr>
              <w:pStyle w:val="13"/>
            </w:pPr>
          </w:p>
        </w:tc>
        <w:tc>
          <w:tcPr>
            <w:tcW w:w="5386" w:type="dxa"/>
            <w:vAlign w:val="center"/>
          </w:tcPr>
          <w:p>
            <w:pPr>
              <w:pStyle w:val="13"/>
            </w:pPr>
            <w:r>
              <w:t>年度内档案管理各项工作按时完成情况</w:t>
            </w:r>
          </w:p>
          <w:p>
            <w:pPr>
              <w:pStyle w:val="13"/>
            </w:pP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p>
            <w:pPr>
              <w:pStyle w:val="13"/>
            </w:pPr>
          </w:p>
        </w:tc>
        <w:tc>
          <w:tcPr>
            <w:tcW w:w="5386" w:type="dxa"/>
            <w:vAlign w:val="center"/>
          </w:tcPr>
          <w:p>
            <w:pPr>
              <w:pStyle w:val="13"/>
            </w:pPr>
            <w:r>
              <w:t>按预算合理控制费用支出</w:t>
            </w:r>
          </w:p>
          <w:p>
            <w:pPr>
              <w:pStyle w:val="13"/>
            </w:pPr>
          </w:p>
          <w:p>
            <w:pPr>
              <w:pStyle w:val="13"/>
            </w:pPr>
          </w:p>
        </w:tc>
        <w:tc>
          <w:tcPr>
            <w:tcW w:w="2268" w:type="dxa"/>
            <w:vAlign w:val="center"/>
          </w:tcPr>
          <w:p>
            <w:pPr>
              <w:pStyle w:val="13"/>
            </w:pPr>
            <w:r>
              <w:t>≤130000元</w:t>
            </w:r>
          </w:p>
        </w:tc>
        <w:tc>
          <w:tcPr>
            <w:tcW w:w="1276" w:type="dxa"/>
            <w:vAlign w:val="center"/>
          </w:tcPr>
          <w:p>
            <w:pPr>
              <w:pStyle w:val="13"/>
            </w:pPr>
            <w:r>
              <w:t>年度工作计划与预算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查准率持续提升</w:t>
            </w:r>
          </w:p>
          <w:p>
            <w:pPr>
              <w:pStyle w:val="13"/>
            </w:pPr>
          </w:p>
        </w:tc>
        <w:tc>
          <w:tcPr>
            <w:tcW w:w="5386" w:type="dxa"/>
            <w:vAlign w:val="center"/>
          </w:tcPr>
          <w:p>
            <w:pPr>
              <w:pStyle w:val="13"/>
            </w:pPr>
            <w:r>
              <w:t>档案查询、利用准确度逐年提升</w:t>
            </w:r>
          </w:p>
          <w:p>
            <w:pPr>
              <w:pStyle w:val="13"/>
            </w:pPr>
          </w:p>
        </w:tc>
        <w:tc>
          <w:tcPr>
            <w:tcW w:w="2268" w:type="dxa"/>
            <w:vAlign w:val="center"/>
          </w:tcPr>
          <w:p>
            <w:pPr>
              <w:pStyle w:val="13"/>
            </w:pPr>
            <w:r>
              <w:t>较上年明显提升</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增加利用档案的人次</w:t>
            </w:r>
          </w:p>
          <w:p>
            <w:pPr>
              <w:pStyle w:val="13"/>
            </w:pPr>
          </w:p>
        </w:tc>
        <w:tc>
          <w:tcPr>
            <w:tcW w:w="5386" w:type="dxa"/>
            <w:vAlign w:val="center"/>
          </w:tcPr>
          <w:p>
            <w:pPr>
              <w:pStyle w:val="13"/>
            </w:pPr>
            <w:r>
              <w:t>社会及单位查询利用档案数量。</w:t>
            </w:r>
          </w:p>
          <w:p>
            <w:pPr>
              <w:pStyle w:val="13"/>
            </w:pPr>
          </w:p>
        </w:tc>
        <w:tc>
          <w:tcPr>
            <w:tcW w:w="2268" w:type="dxa"/>
            <w:vAlign w:val="center"/>
          </w:tcPr>
          <w:p>
            <w:pPr>
              <w:pStyle w:val="13"/>
            </w:pPr>
            <w:r>
              <w:t>≥500人</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档案利用对象满意度</w:t>
            </w:r>
          </w:p>
        </w:tc>
        <w:tc>
          <w:tcPr>
            <w:tcW w:w="5386" w:type="dxa"/>
            <w:vAlign w:val="center"/>
          </w:tcPr>
          <w:p>
            <w:pPr>
              <w:pStyle w:val="13"/>
            </w:pPr>
            <w:r>
              <w:t>社会及单位查询、利用档案满意程度</w:t>
            </w:r>
          </w:p>
          <w:p>
            <w:pPr>
              <w:pStyle w:val="13"/>
            </w:pPr>
          </w:p>
          <w:p>
            <w:pPr>
              <w:pStyle w:val="13"/>
            </w:pPr>
          </w:p>
        </w:tc>
        <w:tc>
          <w:tcPr>
            <w:tcW w:w="2268" w:type="dxa"/>
            <w:vAlign w:val="center"/>
          </w:tcPr>
          <w:p>
            <w:pPr>
              <w:pStyle w:val="13"/>
            </w:pPr>
            <w:r>
              <w:t>≥90%</w:t>
            </w:r>
          </w:p>
        </w:tc>
        <w:tc>
          <w:tcPr>
            <w:tcW w:w="1276" w:type="dxa"/>
            <w:vAlign w:val="center"/>
          </w:tcPr>
          <w:p>
            <w:pPr>
              <w:pStyle w:val="13"/>
            </w:pPr>
            <w:r>
              <w:t>年度工作计划</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241秦皇岛市海港区档案馆</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18.60</w:t>
            </w:r>
          </w:p>
        </w:tc>
        <w:tc>
          <w:tcPr>
            <w:tcW w:w="964" w:type="dxa"/>
            <w:vAlign w:val="center"/>
          </w:tcPr>
          <w:p>
            <w:pPr>
              <w:pStyle w:val="16"/>
            </w:pPr>
            <w:r>
              <w:t>18.60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秦皇岛市海港区档案馆本级小计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18.60</w:t>
            </w:r>
          </w:p>
        </w:tc>
        <w:tc>
          <w:tcPr>
            <w:tcW w:w="964" w:type="dxa"/>
            <w:vAlign w:val="center"/>
          </w:tcPr>
          <w:p>
            <w:pPr>
              <w:pStyle w:val="16"/>
            </w:pPr>
            <w:r>
              <w:t>18.60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20.82</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16.00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11.01</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20</w:t>
            </w:r>
          </w:p>
        </w:tc>
        <w:tc>
          <w:tcPr>
            <w:tcW w:w="850" w:type="dxa"/>
            <w:vAlign w:val="center"/>
          </w:tcPr>
          <w:p>
            <w:pPr>
              <w:pStyle w:val="12"/>
            </w:pPr>
            <w:r>
              <w:t>0.01</w:t>
            </w:r>
          </w:p>
        </w:tc>
        <w:tc>
          <w:tcPr>
            <w:tcW w:w="964" w:type="dxa"/>
            <w:vAlign w:val="center"/>
          </w:tcPr>
          <w:p>
            <w:pPr>
              <w:pStyle w:val="12"/>
            </w:pPr>
            <w:r>
              <w:t>0.27</w:t>
            </w:r>
          </w:p>
        </w:tc>
        <w:tc>
          <w:tcPr>
            <w:tcW w:w="964" w:type="dxa"/>
            <w:vAlign w:val="center"/>
          </w:tcPr>
          <w:p>
            <w:pPr>
              <w:pStyle w:val="12"/>
            </w:pPr>
            <w:r>
              <w:t>0.27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11.01</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1.43</w:t>
            </w:r>
          </w:p>
        </w:tc>
        <w:tc>
          <w:tcPr>
            <w:tcW w:w="964" w:type="dxa"/>
            <w:vAlign w:val="center"/>
          </w:tcPr>
          <w:p>
            <w:pPr>
              <w:pStyle w:val="12"/>
            </w:pPr>
            <w:r>
              <w:t>1.43</w:t>
            </w:r>
          </w:p>
        </w:tc>
        <w:tc>
          <w:tcPr>
            <w:tcW w:w="964" w:type="dxa"/>
            <w:vAlign w:val="center"/>
          </w:tcPr>
          <w:p>
            <w:pPr>
              <w:pStyle w:val="12"/>
            </w:pPr>
            <w:r>
              <w:t>1.43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档案工作经费（含企业人事档案管理经费）</w:t>
            </w:r>
          </w:p>
        </w:tc>
        <w:tc>
          <w:tcPr>
            <w:tcW w:w="964" w:type="dxa"/>
            <w:vAlign w:val="center"/>
          </w:tcPr>
          <w:p>
            <w:pPr>
              <w:pStyle w:val="12"/>
            </w:pPr>
            <w:r>
              <w:t>13.00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60</w:t>
            </w:r>
          </w:p>
        </w:tc>
        <w:tc>
          <w:tcPr>
            <w:tcW w:w="850" w:type="dxa"/>
            <w:vAlign w:val="center"/>
          </w:tcPr>
          <w:p>
            <w:pPr>
              <w:pStyle w:val="12"/>
            </w:pPr>
            <w:r>
              <w:t>0.02</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秦皇岛市海港区档案馆（含所属单位）上年末固定资产金额为143.00万元（详见下表）。本年度拟购置固定资产总额为0.00万元，已按要求列入政府采购预算，详见政府采购预算表。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241秦皇岛市海港区档案馆</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611</w:t>
            </w:r>
          </w:p>
        </w:tc>
        <w:tc>
          <w:tcPr>
            <w:tcW w:w="2835" w:type="dxa"/>
            <w:vAlign w:val="center"/>
          </w:tcPr>
          <w:p>
            <w:pPr>
              <w:pStyle w:val="12"/>
            </w:pPr>
            <w:r>
              <w:t>143.00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6A6C32"/>
    <w:rsid w:val="7E37163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4</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2025-04-03T08:26:00Z</dcterms:created>
  <dc:creator>Administrator</dc:creator>
  <cp:lastModifiedBy>Administrator</cp:lastModifiedBy>
  <dcterms:modified xsi:type="dcterms:W3CDTF">2025-04-03T00:47:46Z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221864878FF34FB982CE6F9B7ED332F9</vt:lpwstr>
  </property>
</Properties>
</file>